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Положение Pro League</w:t>
      </w:r>
    </w:p>
    <w:p>
      <w:pPr>
        <w:pStyle w:val="Subtitle"/>
      </w:pPr>
      <w:r>
        <w:t>Бесколлекторные дроны 3 на 3</w:t>
      </w:r>
    </w:p>
    <w:p>
      <w:r>
        <w:t>Русская версия • 1.0 от 20 октября 2026 года</w:t>
      </w:r>
    </w:p>
    <w:p>
      <w:r>
        <w:rPr>
          <w:b/>
        </w:rPr>
        <w:t xml:space="preserve">Статус </w:t>
      </w:r>
      <w:r>
        <w:t>проект для утверждения организатором</w:t>
      </w:r>
    </w:p>
    <w:p>
      <w:r>
        <w:t>Правила регистрации, допуска дронов, проведения матчей и рассмотрения спорных ситуаций. Документ рассчитан на самостоятельное использование участниками и судьями.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tcMar>
              <w:top w:w="85" w:type="dxa"/>
              <w:left w:w="85" w:type="dxa"/>
              <w:bottom w:w="85" w:type="dxa"/>
              <w:right w:w="85" w:type="dxa"/>
            </w:tcMar>
            <w:shd w:fill="DCE6EE"/>
          </w:tcPr>
          <w:p>
            <w:pPr>
              <w:keepNext/>
              <w:spacing w:after="0" w:line="252" w:lineRule="auto"/>
            </w:pPr>
            <w:r>
              <w:rPr>
                <w:b/>
                <w:sz w:val="20"/>
              </w:rPr>
              <w:t>Ключевое условие</w:t>
            </w:r>
          </w:p>
        </w:tc>
        <w:tc>
          <w:tcPr>
            <w:tcW w:type="dxa" w:w="7200"/>
            <w:vAlign w:val="center"/>
            <w:tcMar>
              <w:top w:w="85" w:type="dxa"/>
              <w:left w:w="85" w:type="dxa"/>
              <w:bottom w:w="85" w:type="dxa"/>
              <w:right w:w="85" w:type="dxa"/>
            </w:tcMar>
            <w:shd w:fill="DCE6EE"/>
          </w:tcPr>
          <w:p>
            <w:pPr>
              <w:keepNext/>
              <w:spacing w:after="0" w:line="252" w:lineRule="auto"/>
            </w:pPr>
            <w:r>
              <w:rPr>
                <w:b/>
                <w:sz w:val="20"/>
              </w:rPr>
              <w:t>Правило</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Формат</w:t>
            </w:r>
          </w:p>
        </w:tc>
        <w:tc>
          <w:tcPr>
            <w:tcW w:type="dxa" w:w="7200"/>
            <w:vAlign w:val="center"/>
            <w:tcMar>
              <w:top w:w="85" w:type="dxa"/>
              <w:left w:w="85" w:type="dxa"/>
              <w:bottom w:w="85" w:type="dxa"/>
              <w:right w:w="85" w:type="dxa"/>
            </w:tcMar>
          </w:tcPr>
          <w:p>
            <w:pPr>
              <w:keepNext/>
              <w:spacing w:after="0" w:line="252" w:lineRule="auto"/>
            </w:pPr>
            <w:r>
              <w:rPr>
                <w:sz w:val="20"/>
              </w:rPr>
              <w:t>3 на 3</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Двигатели</w:t>
            </w:r>
          </w:p>
        </w:tc>
        <w:tc>
          <w:tcPr>
            <w:tcW w:type="dxa" w:w="7200"/>
            <w:vAlign w:val="center"/>
            <w:tcMar>
              <w:top w:w="85" w:type="dxa"/>
              <w:left w:w="85" w:type="dxa"/>
              <w:bottom w:w="85" w:type="dxa"/>
              <w:right w:w="85" w:type="dxa"/>
            </w:tcMar>
          </w:tcPr>
          <w:p>
            <w:pPr>
              <w:keepNext/>
              <w:spacing w:after="0" w:line="252" w:lineRule="auto"/>
            </w:pPr>
            <w:r>
              <w:rPr>
                <w:sz w:val="20"/>
              </w:rPr>
              <w:t>Бесколлекторные</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Пилоты в заявке</w:t>
            </w:r>
          </w:p>
        </w:tc>
        <w:tc>
          <w:tcPr>
            <w:tcW w:type="dxa" w:w="7200"/>
            <w:vAlign w:val="center"/>
            <w:tcMar>
              <w:top w:w="85" w:type="dxa"/>
              <w:left w:w="85" w:type="dxa"/>
              <w:bottom w:w="85" w:type="dxa"/>
              <w:right w:w="85" w:type="dxa"/>
            </w:tcMar>
          </w:tcPr>
          <w:p>
            <w:pPr>
              <w:keepNext/>
              <w:spacing w:after="0" w:line="252" w:lineRule="auto"/>
            </w:pPr>
            <w:r>
              <w:rPr>
                <w:sz w:val="20"/>
              </w:rPr>
              <w:t>3 основных и до 2 резервных</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Защита и масса</w:t>
            </w:r>
          </w:p>
        </w:tc>
        <w:tc>
          <w:tcPr>
            <w:tcW w:type="dxa" w:w="7200"/>
            <w:vAlign w:val="center"/>
            <w:tcMar>
              <w:top w:w="85" w:type="dxa"/>
              <w:left w:w="85" w:type="dxa"/>
              <w:bottom w:w="85" w:type="dxa"/>
              <w:right w:w="85" w:type="dxa"/>
            </w:tcMar>
          </w:tcPr>
          <w:p>
            <w:pPr>
              <w:keepNext/>
              <w:spacing w:after="0" w:line="252" w:lineRule="auto"/>
            </w:pPr>
            <w:r>
              <w:rPr>
                <w:sz w:val="20"/>
              </w:rPr>
              <w:t>200–220 мм и до 300 г</w:t>
            </w:r>
          </w:p>
        </w:tc>
      </w:tr>
      <w:tr>
        <w:trPr>
          <w:cantSplit/>
        </w:trPr>
        <w:tc>
          <w:tcPr>
            <w:tcW w:type="dxa" w:w="2880"/>
            <w:vAlign w:val="center"/>
            <w:tcMar>
              <w:top w:w="85" w:type="dxa"/>
              <w:left w:w="85" w:type="dxa"/>
              <w:bottom w:w="85" w:type="dxa"/>
              <w:right w:w="85" w:type="dxa"/>
            </w:tcMar>
          </w:tcPr>
          <w:p>
            <w:pPr>
              <w:keepNext/>
              <w:spacing w:after="0" w:line="252" w:lineRule="auto"/>
            </w:pPr>
            <w:r>
              <w:rPr>
                <w:sz w:val="20"/>
              </w:rPr>
              <w:t>Голы</w:t>
            </w:r>
          </w:p>
        </w:tc>
        <w:tc>
          <w:tcPr>
            <w:tcW w:type="dxa" w:w="7200"/>
            <w:vAlign w:val="center"/>
            <w:tcMar>
              <w:top w:w="85" w:type="dxa"/>
              <w:left w:w="85" w:type="dxa"/>
              <w:bottom w:w="85" w:type="dxa"/>
              <w:right w:w="85" w:type="dxa"/>
            </w:tcMar>
          </w:tcPr>
          <w:p>
            <w:pPr>
              <w:keepNext/>
              <w:spacing w:after="0" w:line="252" w:lineRule="auto"/>
            </w:pPr>
            <w:r>
              <w:rPr>
                <w:sz w:val="20"/>
              </w:rPr>
              <w:t>Один назначенный нападающий</w:t>
            </w:r>
          </w:p>
        </w:tc>
      </w:tr>
      <w:tr>
        <w:trPr>
          <w:cantSplit/>
        </w:trPr>
        <w:tc>
          <w:tcPr>
            <w:tcW w:type="dxa" w:w="2880"/>
            <w:vAlign w:val="center"/>
            <w:tcMar>
              <w:top w:w="85" w:type="dxa"/>
              <w:left w:w="85" w:type="dxa"/>
              <w:bottom w:w="85" w:type="dxa"/>
              <w:right w:w="85" w:type="dxa"/>
            </w:tcMar>
          </w:tcPr>
          <w:p>
            <w:pPr>
              <w:spacing w:after="0" w:line="252" w:lineRule="auto"/>
            </w:pPr>
            <w:r>
              <w:rPr>
                <w:sz w:val="20"/>
              </w:rPr>
              <w:t>Система турнира</w:t>
            </w:r>
          </w:p>
        </w:tc>
        <w:tc>
          <w:tcPr>
            <w:tcW w:type="dxa" w:w="7200"/>
            <w:vAlign w:val="center"/>
            <w:tcMar>
              <w:top w:w="85" w:type="dxa"/>
              <w:left w:w="85" w:type="dxa"/>
              <w:bottom w:w="85" w:type="dxa"/>
              <w:right w:w="85" w:type="dxa"/>
            </w:tcMar>
          </w:tcPr>
          <w:p>
            <w:pPr>
              <w:spacing w:after="0" w:line="252" w:lineRule="auto"/>
            </w:pPr>
            <w:r>
              <w:rPr>
                <w:sz w:val="20"/>
              </w:rPr>
              <w:t>Двойное выбывание с повторным гранд-финалом при необходимости</w:t>
            </w:r>
          </w:p>
        </w:tc>
      </w:tr>
    </w:tbl>
    <w:p>
      <w:pPr>
        <w:spacing w:after="0"/>
      </w:pPr>
    </w:p>
    <w:p>
      <w:r>
        <w:t>Для участия недостаточно подобрать моторы нужного типа: каждый аппарат проходит проверку размеров, полетной массы, защиты, связи и маркировки. Профиль команды на сайте не заменяет заявку на конкретный турнир и очный допуск.</w:t>
      </w:r>
    </w:p>
    <w:p>
      <w:pPr>
        <w:pStyle w:val="Heading1"/>
      </w:pPr>
      <w:r>
        <w:t>1 Область применения и статус правил</w:t>
      </w:r>
    </w:p>
    <w:p>
      <w:r>
        <w:rPr>
          <w:b/>
        </w:rPr>
        <w:t xml:space="preserve">1.1. </w:t>
      </w:r>
      <w:r>
        <w:t>Настоящее положение устанавливает порядок регистрации, допуска команды и техники, проведения матчей, рассмотрения протестов и определения результатов соревнований Drone Football League. Оно предназначено для пилотов, родителей, тренеров, судей и организаторов.</w:t>
      </w:r>
    </w:p>
    <w:p>
      <w:r>
        <w:rPr>
          <w:b/>
        </w:rPr>
        <w:t xml:space="preserve">1.2. </w:t>
      </w:r>
      <w:r>
        <w:t>Организатор лиги — ТОО «YRYS Group Limited». Организатор конкретного турнира, соорганизаторы, адрес площадки, даты, возрастные ограничения, взносы и контакты указываются в официальной карточке турнира на регистрационной платформе.</w:t>
      </w:r>
    </w:p>
    <w:p>
      <w:r>
        <w:rPr>
          <w:b/>
        </w:rPr>
        <w:t xml:space="preserve">1.3. </w:t>
      </w:r>
      <w:r>
        <w:t>Редакция подготовлена для утверждения организатором. Она становится обязательной для турнира после публикации утвержденной версии в его карточке. Сам по себе этот документ не объявляет регистрацию открытой и не подтверждает проведение конкретного мероприятия.</w:t>
      </w:r>
    </w:p>
    <w:p>
      <w:r>
        <w:rPr>
          <w:b/>
        </w:rPr>
        <w:t xml:space="preserve">1.4. </w:t>
      </w:r>
      <w:r>
        <w:t>Pro League — лига бесколлекторных дронов в формате 3 на 3. Open League — лига коллекторных дронов в формате 5 на 5. Это две самостоятельные категории: они имеют отдельные заявки, сетки, результаты и награждение. Название Open League не означает допуск любых типов моторов.</w:t>
      </w:r>
    </w:p>
    <w:p>
      <w:r>
        <w:rPr>
          <w:b/>
        </w:rPr>
        <w:t xml:space="preserve">1.5. </w:t>
      </w:r>
      <w:r>
        <w:t>Игровые и технические требования Pro League опираются на FAI Sporting Code, Section 4, Volume F9 Drone Sports, редакцию 2026 Version 2, действующую с 1 июня 2026 года, подкласс F9A-B. Требование бесколлекторных моторов является дополнительным условием Drone Football League. Регистрация, возраст, фиксированная турнирная сетка, сроки протестов и остальные прямо обозначенные организационные условия устанавливаются лигой.</w:t>
      </w:r>
    </w:p>
    <w:p>
      <w:r>
        <w:rPr>
          <w:b/>
        </w:rPr>
        <w:t xml:space="preserve">1.6. </w:t>
      </w:r>
      <w:r>
        <w:t>Применение правил FAI не означает, что турнир включен в календарь FAI, имеет ее аккредитацию или дает международные спортивные звания. Такие сведения публикуются только при наличии отдельного подтверждения. Спортивная лицензия FAI для обычного турнира платформы не требуется; для официального старта требования объявляются отдельно.</w:t>
      </w:r>
    </w:p>
    <w:p>
      <w:r>
        <w:rPr>
          <w:b/>
        </w:rPr>
        <w:t xml:space="preserve">1.7. </w:t>
      </w:r>
      <w:r>
        <w:t>Обязательные нормы законодательства имеют приоритет. В технических и игровых вопросах действует указанная редакция FAI с явно установленными здесь дополнительными условиями лиги. Карточка турнира определяет организационные сведения и разрешенные варианты, но не вправе незаметно менять число пилотов, тип двигателей, массу дрона или правила счета.</w:t>
      </w:r>
    </w:p>
    <w:p>
      <w:r>
        <w:rPr>
          <w:b/>
        </w:rPr>
        <w:t xml:space="preserve">1.8. </w:t>
      </w:r>
      <w:r>
        <w:t>Новая редакция внешних правил не применяется автоматически посреди регистрации или турнира. Организатор публикует номер применяемой редакции и журнал изменений. Существенное изменение требует уведомления всех заявленных команд; после начала игр правила не меняются, кроме необходимых мер безопасности без обратного изменения правомерно полученных результатов.</w:t>
      </w:r>
    </w:p>
    <w:p>
      <w:pPr>
        <w:pStyle w:val="Heading1"/>
      </w:pPr>
      <w:r>
        <w:t>2 Участники и регистрация на платформе</w:t>
      </w:r>
    </w:p>
    <w:p>
      <w:r>
        <w:rPr>
          <w:b/>
        </w:rPr>
        <w:t xml:space="preserve">2.1. </w:t>
      </w:r>
      <w:r>
        <w:t>К участию допускаются команды школ, колледжей, вузов, клубов, организаций и самостоятельные команды. Для каждой заявки назначается совершеннолетний руководитель, который отвечает за связь, достоверность сведений и сопровождение несовершеннолетних. Капитаном на матч назначается один из действующих пилотов.</w:t>
      </w:r>
    </w:p>
    <w:p>
      <w:r>
        <w:rPr>
          <w:b/>
        </w:rPr>
        <w:t xml:space="preserve">2.2. </w:t>
      </w:r>
      <w:r>
        <w:t>Возраст проверяется на первый день турнира по диапазону, опубликованному в его карточке. Термины Pro и Open сами по себе не устанавливают возраст или спортивный разряд. Возрастной диапазон и способ его подтверждения должны быть опубликованы до открытия приема заявок; без них регистрация турнира не открывается.</w:t>
      </w:r>
    </w:p>
    <w:p>
      <w:r>
        <w:rPr>
          <w:b/>
        </w:rPr>
        <w:t xml:space="preserve">2.3. </w:t>
      </w:r>
      <w:r>
        <w:t>Одна турнирная заявка относится только к одной лиге. Одна организация может заявить несколько команд с разными составами. Один пилот, включая резервного, может состоять только в одной команде данного турнира и только в одной из двух лиг. На другом турнире смена лиги допускается при соответствии ее условиям. Это организационное правило Drone Football League.</w:t>
      </w:r>
    </w:p>
    <w:p>
      <w:r>
        <w:rPr>
          <w:b/>
        </w:rPr>
        <w:t xml:space="preserve">2.4. </w:t>
      </w:r>
      <w:r>
        <w:t>Руководитель создает профиль команды, выбирает турнир и лигу, вносит состав, сведения о дронах и необходимые согласия, затем отправляет заявку. Создание профиля или сохранение черновика не означает подачу заявки; поданная заявка не означает окончательный допуск.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8136"/>
      </w:tblGrid>
      <w:tr>
        <w:trPr>
          <w:cantSplit/>
          <w:tblHeader/>
        </w:trPr>
        <w:tc>
          <w:tcPr>
            <w:tcW w:type="dxa" w:w="1944"/>
            <w:vAlign w:val="center"/>
            <w:tcMar>
              <w:top w:w="85" w:type="dxa"/>
              <w:left w:w="85" w:type="dxa"/>
              <w:bottom w:w="85" w:type="dxa"/>
              <w:right w:w="85" w:type="dxa"/>
            </w:tcMar>
            <w:shd w:fill="DCE6EE"/>
          </w:tcPr>
          <w:p>
            <w:pPr>
              <w:keepNext/>
              <w:spacing w:after="0" w:line="252" w:lineRule="auto"/>
            </w:pPr>
            <w:r>
              <w:rPr>
                <w:b/>
                <w:sz w:val="20"/>
              </w:rPr>
              <w:t>Этап заявки</w:t>
            </w:r>
          </w:p>
        </w:tc>
        <w:tc>
          <w:tcPr>
            <w:tcW w:type="dxa" w:w="8136"/>
            <w:vAlign w:val="center"/>
            <w:tcMar>
              <w:top w:w="85" w:type="dxa"/>
              <w:left w:w="85" w:type="dxa"/>
              <w:bottom w:w="85" w:type="dxa"/>
              <w:right w:w="85" w:type="dxa"/>
            </w:tcMar>
            <w:shd w:fill="DCE6EE"/>
          </w:tcPr>
          <w:p>
            <w:pPr>
              <w:keepNext/>
              <w:spacing w:after="0" w:line="252" w:lineRule="auto"/>
            </w:pPr>
            <w:r>
              <w:rPr>
                <w:b/>
                <w:sz w:val="20"/>
              </w:rPr>
              <w:t>Что он означает</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Черновик</w:t>
            </w:r>
          </w:p>
        </w:tc>
        <w:tc>
          <w:tcPr>
            <w:tcW w:type="dxa" w:w="8136"/>
            <w:vAlign w:val="center"/>
            <w:tcMar>
              <w:top w:w="85" w:type="dxa"/>
              <w:left w:w="85" w:type="dxa"/>
              <w:bottom w:w="85" w:type="dxa"/>
              <w:right w:w="85" w:type="dxa"/>
            </w:tcMar>
          </w:tcPr>
          <w:p>
            <w:pPr>
              <w:keepNext/>
              <w:spacing w:after="0" w:line="252" w:lineRule="auto"/>
            </w:pPr>
            <w:r>
              <w:rPr>
                <w:sz w:val="20"/>
              </w:rPr>
              <w:t>Данные можно редактировать; место на турнире не занято.</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Подана</w:t>
            </w:r>
          </w:p>
        </w:tc>
        <w:tc>
          <w:tcPr>
            <w:tcW w:type="dxa" w:w="8136"/>
            <w:vAlign w:val="center"/>
            <w:tcMar>
              <w:top w:w="85" w:type="dxa"/>
              <w:left w:w="85" w:type="dxa"/>
              <w:bottom w:w="85" w:type="dxa"/>
              <w:right w:w="85" w:type="dxa"/>
            </w:tcMar>
          </w:tcPr>
          <w:p>
            <w:pPr>
              <w:keepNext/>
              <w:spacing w:after="0" w:line="252" w:lineRule="auto"/>
            </w:pPr>
            <w:r>
              <w:rPr>
                <w:sz w:val="20"/>
              </w:rPr>
              <w:t>Заявка отправлена и получила дату и время подачи.</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Требует исправления</w:t>
            </w:r>
          </w:p>
        </w:tc>
        <w:tc>
          <w:tcPr>
            <w:tcW w:type="dxa" w:w="8136"/>
            <w:vAlign w:val="center"/>
            <w:tcMar>
              <w:top w:w="85" w:type="dxa"/>
              <w:left w:w="85" w:type="dxa"/>
              <w:bottom w:w="85" w:type="dxa"/>
              <w:right w:w="85" w:type="dxa"/>
            </w:tcMar>
          </w:tcPr>
          <w:p>
            <w:pPr>
              <w:keepNext/>
              <w:spacing w:after="0" w:line="252" w:lineRule="auto"/>
            </w:pPr>
            <w:r>
              <w:rPr>
                <w:sz w:val="20"/>
              </w:rPr>
              <w:t>Организатор указал конкретные недостающие сведения и срок исправления.</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Подтверждена</w:t>
            </w:r>
          </w:p>
        </w:tc>
        <w:tc>
          <w:tcPr>
            <w:tcW w:type="dxa" w:w="8136"/>
            <w:vAlign w:val="center"/>
            <w:tcMar>
              <w:top w:w="85" w:type="dxa"/>
              <w:left w:w="85" w:type="dxa"/>
              <w:bottom w:w="85" w:type="dxa"/>
              <w:right w:w="85" w:type="dxa"/>
            </w:tcMar>
          </w:tcPr>
          <w:p>
            <w:pPr>
              <w:keepNext/>
              <w:spacing w:after="0" w:line="252" w:lineRule="auto"/>
            </w:pPr>
            <w:r>
              <w:rPr>
                <w:sz w:val="20"/>
              </w:rPr>
              <w:t>Место предварительно закреплено; очный и технический допуск еще предстоят.</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Лист ожидания</w:t>
            </w:r>
          </w:p>
        </w:tc>
        <w:tc>
          <w:tcPr>
            <w:tcW w:type="dxa" w:w="8136"/>
            <w:vAlign w:val="center"/>
            <w:tcMar>
              <w:top w:w="85" w:type="dxa"/>
              <w:left w:w="85" w:type="dxa"/>
              <w:bottom w:w="85" w:type="dxa"/>
              <w:right w:w="85" w:type="dxa"/>
            </w:tcMar>
          </w:tcPr>
          <w:p>
            <w:pPr>
              <w:keepNext/>
              <w:spacing w:after="0" w:line="252" w:lineRule="auto"/>
            </w:pPr>
            <w:r>
              <w:rPr>
                <w:sz w:val="20"/>
              </w:rPr>
              <w:t>Лимит мест исчерпан; участие возможно после отдельного подтверждения.</w:t>
            </w:r>
          </w:p>
        </w:tc>
      </w:tr>
      <w:tr>
        <w:trPr>
          <w:cantSplit/>
        </w:trPr>
        <w:tc>
          <w:tcPr>
            <w:tcW w:type="dxa" w:w="1944"/>
            <w:vAlign w:val="center"/>
            <w:tcMar>
              <w:top w:w="85" w:type="dxa"/>
              <w:left w:w="85" w:type="dxa"/>
              <w:bottom w:w="85" w:type="dxa"/>
              <w:right w:w="85" w:type="dxa"/>
            </w:tcMar>
          </w:tcPr>
          <w:p>
            <w:pPr>
              <w:keepNext/>
              <w:spacing w:after="0" w:line="252" w:lineRule="auto"/>
            </w:pPr>
            <w:r>
              <w:rPr>
                <w:sz w:val="20"/>
              </w:rPr>
              <w:t>Допущена</w:t>
            </w:r>
          </w:p>
        </w:tc>
        <w:tc>
          <w:tcPr>
            <w:tcW w:type="dxa" w:w="8136"/>
            <w:vAlign w:val="center"/>
            <w:tcMar>
              <w:top w:w="85" w:type="dxa"/>
              <w:left w:w="85" w:type="dxa"/>
              <w:bottom w:w="85" w:type="dxa"/>
              <w:right w:w="85" w:type="dxa"/>
            </w:tcMar>
          </w:tcPr>
          <w:p>
            <w:pPr>
              <w:keepNext/>
              <w:spacing w:after="0" w:line="252" w:lineRule="auto"/>
            </w:pPr>
            <w:r>
              <w:rPr>
                <w:sz w:val="20"/>
              </w:rPr>
              <w:t>Проверены состав, документы, инструктаж и необходимое для старта оборудование.</w:t>
            </w:r>
          </w:p>
        </w:tc>
      </w:tr>
      <w:tr>
        <w:trPr>
          <w:cantSplit/>
        </w:trPr>
        <w:tc>
          <w:tcPr>
            <w:tcW w:type="dxa" w:w="1944"/>
            <w:vAlign w:val="center"/>
            <w:tcMar>
              <w:top w:w="85" w:type="dxa"/>
              <w:left w:w="85" w:type="dxa"/>
              <w:bottom w:w="85" w:type="dxa"/>
              <w:right w:w="85" w:type="dxa"/>
            </w:tcMar>
          </w:tcPr>
          <w:p>
            <w:pPr>
              <w:spacing w:after="0" w:line="252" w:lineRule="auto"/>
            </w:pPr>
            <w:r>
              <w:rPr>
                <w:sz w:val="20"/>
              </w:rPr>
              <w:t>Отказ или снятие</w:t>
            </w:r>
          </w:p>
        </w:tc>
        <w:tc>
          <w:tcPr>
            <w:tcW w:type="dxa" w:w="8136"/>
            <w:vAlign w:val="center"/>
            <w:tcMar>
              <w:top w:w="85" w:type="dxa"/>
              <w:left w:w="85" w:type="dxa"/>
              <w:bottom w:w="85" w:type="dxa"/>
              <w:right w:w="85" w:type="dxa"/>
            </w:tcMar>
          </w:tcPr>
          <w:p>
            <w:pPr>
              <w:spacing w:after="0" w:line="252" w:lineRule="auto"/>
            </w:pPr>
            <w:r>
              <w:rPr>
                <w:sz w:val="20"/>
              </w:rPr>
              <w:t>Указана причина и порядок обращения; команда не участвует в жеребьевке.</w:t>
            </w:r>
          </w:p>
        </w:tc>
      </w:tr>
    </w:tbl>
    <w:p>
      <w:pPr>
        <w:spacing w:after="0"/>
      </w:pPr>
    </w:p>
    <w:p>
      <w:r>
        <w:rPr>
          <w:b/>
        </w:rPr>
        <w:t xml:space="preserve">2.5. </w:t>
      </w:r>
      <w:r>
        <w:t>Обязательные данные: название команды, организация при наличии, город и регион, выбранная лига, ФИО и дата рождения каждого пилота, статус основного или резервного пилота, ФИО и контакты руководителя, модель или описание сборки каждого дрона, тип моторов и параметры аккумулятора. Телефоны родителей и документы используются только в объеме, необходимом для допуска и экстренной связи.</w:t>
      </w:r>
    </w:p>
    <w:p>
      <w:r>
        <w:rPr>
          <w:b/>
        </w:rPr>
        <w:t xml:space="preserve">2.6. </w:t>
      </w:r>
      <w:r>
        <w:t>Лимит команд, крайний срок подачи, время технической комиссии и правило распределения мест публикуются до открытия регистрации. По умолчанию места получают соответствующие условиям заявки в порядке времени их полного заполнения; исправление неполной заявки учитывается по времени завершения исправлений. Региональные квоты возможны только при заблаговременной публикации.</w:t>
      </w:r>
    </w:p>
    <w:p>
      <w:r>
        <w:rPr>
          <w:b/>
        </w:rPr>
        <w:t xml:space="preserve">2.7. </w:t>
      </w:r>
      <w:r>
        <w:t>Для несовершеннолетнего оформляется согласие законного представителя на участие и необходимые операции с персональными данными. Сопровождающий не заменяет законного представителя без соответствующих полномочий. Требование медицинской справки или страховки, если оно установлено для турнира, объявляется заранее с указанием вида документа; на месте новые платные условия не вводятся.</w:t>
      </w:r>
    </w:p>
    <w:p>
      <w:r>
        <w:rPr>
          <w:b/>
        </w:rPr>
        <w:t xml:space="preserve">2.8. </w:t>
      </w:r>
      <w:r>
        <w:t>Окончательный состав фиксируется не позднее чем за 30 минут до первого матча соответствующей лиги и в любом случае до начала ее соревнований. До фиксации допускаются замены по запросу руководителя, если новый пилот удовлетворяет условиям. После начала соревнований добавление новых пилотов запрещено; доступны только замены из ранее заявленного резерва.</w:t>
      </w:r>
    </w:p>
    <w:p>
      <w:r>
        <w:rPr>
          <w:b/>
        </w:rPr>
        <w:t xml:space="preserve">2.9. </w:t>
      </w:r>
      <w:r>
        <w:t>При аккредитации руководитель подтверждает личности и возраст участников способом, указанным в карточке турнира. Организатор сверяет заявки, получает необходимые документы, проводит инструктаж и выдает допуск. Отказ должен содержать проверяемую причину; исправимые недостатки разрешается устранить до закрытия допуска.</w:t>
      </w:r>
    </w:p>
    <w:p>
      <w:r>
        <w:rPr>
          <w:b/>
        </w:rPr>
        <w:t xml:space="preserve">2.10. </w:t>
      </w:r>
      <w:r>
        <w:t>Если платформа недоступна в период подачи, организатор объявляет единый резервный канал и одинаковое для всех продление срока. Устная договоренность или личное сообщение без регистрационного подтверждения не заменяют заявку. Исправления состава и статуса сохраняются с датой, основанием и ответственным лицом.</w:t>
      </w:r>
    </w:p>
    <w:p>
      <w:r>
        <w:rPr>
          <w:b/>
        </w:rPr>
        <w:t xml:space="preserve">2.11. </w:t>
      </w:r>
      <w:r>
        <w:t>Команда сообщает о снятии через платформу или официальный контакт. Передача оплаченного места, аккаунта или состава другой команде без переоформления не допускается. Смена названия после жеребьевки не должна скрывать личность команды или создавать вторую заявку.</w:t>
      </w:r>
    </w:p>
    <w:p>
      <w:pPr>
        <w:pStyle w:val="Heading1"/>
      </w:pPr>
      <w:r>
        <w:t>3 Состав команды Pro League</w:t>
      </w:r>
    </w:p>
    <w:p>
      <w:r>
        <w:rPr>
          <w:b/>
        </w:rPr>
        <w:t xml:space="preserve">3.1. </w:t>
      </w:r>
      <w:r>
        <w:t>На поле одновременно находятся три пилота одной команды и три их дрона. В заявку на турнир включаются от трех до пяти пилотов: три основных и до двух резервных. Дополнительно разрешены до двух тренеров или сопровождающих. Тренер не становится пилотом автоматически: для управления он должен быть заранее заявлен именно как пилот и соответствовать возрастным условиям.</w:t>
      </w:r>
    </w:p>
    <w:p>
      <w:r>
        <w:rPr>
          <w:b/>
        </w:rPr>
        <w:t xml:space="preserve">3.2. </w:t>
      </w:r>
      <w:r>
        <w:t>Перед каждым сетом капитан объявляет трех действующих пилотов и одного нападающего. Только дрон нападающего может приносить голы; два других помогают атаке и обороне. Один пилот управляет одним дроном. Передача пульта, дистанционное управление тренером и выход четвертого дрона запрещены.</w:t>
      </w:r>
    </w:p>
    <w:p>
      <w:r>
        <w:rPr>
          <w:b/>
        </w:rPr>
        <w:t xml:space="preserve">3.3. </w:t>
      </w:r>
      <w:r>
        <w:t>Резервные пилоты заменяют основных только между сетами после уведомления судьи. Состав заявки после начала турнира не меняется. Роли нападающего и капитана могут изменяться между сетами; аварийная смена нападающего во время сета регулируется отдельно.</w:t>
      </w:r>
    </w:p>
    <w:p>
      <w:r>
        <w:rPr>
          <w:b/>
        </w:rPr>
        <w:t xml:space="preserve">3.4. </w:t>
      </w:r>
      <w:r>
        <w:t>Для начала матча требуются три допущенных пилота и три исправных допущенных дрона. После поломки или удаления команда продолжает текущий сет в меньшинстве. Для следующего сета она восстанавливает состав из допущенных пилотов и аппаратов, если этому не препятствует действующее удаление. Если по техническим причинам готовых пилотов с исправной техникой меньше трех, следующий сет фиксируется как технически проигранный. Это организационное уточнение лиги; удаление не компенсируется резервом до окончания его срока.</w:t>
      </w:r>
    </w:p>
    <w:p>
      <w:r>
        <w:rPr>
          <w:b/>
        </w:rPr>
        <w:t xml:space="preserve">3.5. </w:t>
      </w:r>
      <w:r>
        <w:t>Каждый действующий пилот может подготовить к матчу основной и один запасной дрон. Запасной аппарат хранится без установленного аккумулятора. Менять дрон или аккумулятор во время сета нельзя. Во время игры в зоне пилотов находятся только действующие пилоты; тренеры и резерв остаются в обозначенной зоне сопровождения.</w:t>
      </w:r>
    </w:p>
    <w:p>
      <w:pPr>
        <w:pStyle w:val="Heading1"/>
      </w:pPr>
      <w:r>
        <w:t>4 Допустимые дроны Pro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776"/>
      </w:tblGrid>
      <w:tr>
        <w:trPr>
          <w:cantSplit/>
          <w:tblHeader/>
        </w:trPr>
        <w:tc>
          <w:tcPr>
            <w:tcW w:type="dxa" w:w="2304"/>
            <w:vAlign w:val="center"/>
            <w:tcMar>
              <w:top w:w="85" w:type="dxa"/>
              <w:left w:w="85" w:type="dxa"/>
              <w:bottom w:w="85" w:type="dxa"/>
              <w:right w:w="85" w:type="dxa"/>
            </w:tcMar>
            <w:shd w:fill="DCE6EE"/>
          </w:tcPr>
          <w:p>
            <w:pPr>
              <w:spacing w:after="0" w:line="252" w:lineRule="auto"/>
            </w:pPr>
            <w:r>
              <w:rPr>
                <w:b/>
                <w:sz w:val="20"/>
              </w:rPr>
              <w:t>Параметр</w:t>
            </w:r>
          </w:p>
        </w:tc>
        <w:tc>
          <w:tcPr>
            <w:tcW w:type="dxa" w:w="7776"/>
            <w:vAlign w:val="center"/>
            <w:tcMar>
              <w:top w:w="85" w:type="dxa"/>
              <w:left w:w="85" w:type="dxa"/>
              <w:bottom w:w="85" w:type="dxa"/>
              <w:right w:w="85" w:type="dxa"/>
            </w:tcMar>
            <w:shd w:fill="DCE6EE"/>
          </w:tcPr>
          <w:p>
            <w:pPr>
              <w:spacing w:after="0" w:line="252" w:lineRule="auto"/>
            </w:pPr>
            <w:r>
              <w:rPr>
                <w:b/>
                <w:sz w:val="20"/>
              </w:rPr>
              <w:t>Требование Pro League</w:t>
            </w:r>
          </w:p>
        </w:tc>
      </w:tr>
      <w:tr>
        <w:trPr>
          <w:cantSplit/>
        </w:trPr>
        <w:tc>
          <w:tcPr>
            <w:tcW w:type="dxa" w:w="2304"/>
            <w:vAlign w:val="center"/>
            <w:tcMar>
              <w:top w:w="85" w:type="dxa"/>
              <w:left w:w="85" w:type="dxa"/>
              <w:bottom w:w="85" w:type="dxa"/>
              <w:right w:w="85" w:type="dxa"/>
            </w:tcMar>
          </w:tcPr>
          <w:p>
            <w:pPr>
              <w:spacing w:after="0" w:line="252" w:lineRule="auto"/>
            </w:pPr>
            <w:r>
              <w:rPr>
                <w:sz w:val="20"/>
              </w:rPr>
              <w:t>Двигатели</w:t>
            </w:r>
          </w:p>
        </w:tc>
        <w:tc>
          <w:tcPr>
            <w:tcW w:type="dxa" w:w="7776"/>
            <w:vAlign w:val="center"/>
            <w:tcMar>
              <w:top w:w="85" w:type="dxa"/>
              <w:left w:w="85" w:type="dxa"/>
              <w:bottom w:w="85" w:type="dxa"/>
              <w:right w:w="85" w:type="dxa"/>
            </w:tcMar>
          </w:tcPr>
          <w:p>
            <w:pPr>
              <w:spacing w:after="0" w:line="252" w:lineRule="auto"/>
            </w:pPr>
            <w:r>
              <w:rPr>
                <w:sz w:val="20"/>
              </w:rPr>
              <w:t>Бесколлекторные электрические; не более четырех. Коллекторные не допускаются по условию лиги.</w:t>
            </w:r>
          </w:p>
        </w:tc>
      </w:tr>
      <w:tr>
        <w:trPr>
          <w:cantSplit/>
        </w:trPr>
        <w:tc>
          <w:tcPr>
            <w:tcW w:type="dxa" w:w="2304"/>
            <w:vAlign w:val="center"/>
            <w:tcMar>
              <w:top w:w="85" w:type="dxa"/>
              <w:left w:w="85" w:type="dxa"/>
              <w:bottom w:w="85" w:type="dxa"/>
              <w:right w:w="85" w:type="dxa"/>
            </w:tcMar>
          </w:tcPr>
          <w:p>
            <w:pPr>
              <w:spacing w:after="0" w:line="252" w:lineRule="auto"/>
            </w:pPr>
            <w:r>
              <w:rPr>
                <w:sz w:val="20"/>
              </w:rPr>
              <w:t>Диаметр защитного каркаса</w:t>
            </w:r>
          </w:p>
        </w:tc>
        <w:tc>
          <w:tcPr>
            <w:tcW w:type="dxa" w:w="7776"/>
            <w:vAlign w:val="center"/>
            <w:tcMar>
              <w:top w:w="85" w:type="dxa"/>
              <w:left w:w="85" w:type="dxa"/>
              <w:bottom w:w="85" w:type="dxa"/>
              <w:right w:w="85" w:type="dxa"/>
            </w:tcMar>
          </w:tcPr>
          <w:p>
            <w:pPr>
              <w:spacing w:after="0" w:line="252" w:lineRule="auto"/>
            </w:pPr>
            <w:r>
              <w:rPr>
                <w:sz w:val="20"/>
              </w:rPr>
              <w:t>200–220 мм включительно в измерительном сечении сферы. Не размер рамы между моторами.</w:t>
            </w:r>
          </w:p>
        </w:tc>
      </w:tr>
      <w:tr>
        <w:trPr>
          <w:cantSplit/>
        </w:trPr>
        <w:tc>
          <w:tcPr>
            <w:tcW w:type="dxa" w:w="2304"/>
            <w:vAlign w:val="center"/>
            <w:tcMar>
              <w:top w:w="85" w:type="dxa"/>
              <w:left w:w="85" w:type="dxa"/>
              <w:bottom w:w="85" w:type="dxa"/>
              <w:right w:w="85" w:type="dxa"/>
            </w:tcMar>
          </w:tcPr>
          <w:p>
            <w:pPr>
              <w:spacing w:after="0" w:line="252" w:lineRule="auto"/>
            </w:pPr>
            <w:r>
              <w:rPr>
                <w:sz w:val="20"/>
              </w:rPr>
              <w:t>Полетная масса</w:t>
            </w:r>
          </w:p>
        </w:tc>
        <w:tc>
          <w:tcPr>
            <w:tcW w:type="dxa" w:w="7776"/>
            <w:vAlign w:val="center"/>
            <w:tcMar>
              <w:top w:w="85" w:type="dxa"/>
              <w:left w:w="85" w:type="dxa"/>
              <w:bottom w:w="85" w:type="dxa"/>
              <w:right w:w="85" w:type="dxa"/>
            </w:tcMar>
          </w:tcPr>
          <w:p>
            <w:pPr>
              <w:spacing w:after="0" w:line="252" w:lineRule="auto"/>
            </w:pPr>
            <w:r>
              <w:rPr>
                <w:sz w:val="20"/>
              </w:rPr>
              <w:t>Не более 300 г, включая батарею, защиту, подсветку и маркировку.</w:t>
            </w:r>
          </w:p>
        </w:tc>
      </w:tr>
      <w:tr>
        <w:trPr>
          <w:cantSplit/>
        </w:trPr>
        <w:tc>
          <w:tcPr>
            <w:tcW w:type="dxa" w:w="2304"/>
            <w:vAlign w:val="center"/>
            <w:tcMar>
              <w:top w:w="85" w:type="dxa"/>
              <w:left w:w="85" w:type="dxa"/>
              <w:bottom w:w="85" w:type="dxa"/>
              <w:right w:w="85" w:type="dxa"/>
            </w:tcMar>
          </w:tcPr>
          <w:p>
            <w:pPr>
              <w:spacing w:after="0" w:line="252" w:lineRule="auto"/>
            </w:pPr>
            <w:r>
              <w:rPr>
                <w:sz w:val="20"/>
              </w:rPr>
              <w:t>Защита</w:t>
            </w:r>
          </w:p>
        </w:tc>
        <w:tc>
          <w:tcPr>
            <w:tcW w:type="dxa" w:w="7776"/>
            <w:vAlign w:val="center"/>
            <w:tcMar>
              <w:top w:w="85" w:type="dxa"/>
              <w:left w:w="85" w:type="dxa"/>
              <w:bottom w:w="85" w:type="dxa"/>
              <w:right w:w="85" w:type="dxa"/>
            </w:tcMar>
          </w:tcPr>
          <w:p>
            <w:pPr>
              <w:spacing w:after="0" w:line="252" w:lineRule="auto"/>
            </w:pPr>
            <w:r>
              <w:rPr>
                <w:sz w:val="20"/>
              </w:rPr>
              <w:t>Сферический каркас из пластика или композита; металлический внешний каркас запрещен. Все компоненты внутри.</w:t>
            </w:r>
          </w:p>
        </w:tc>
      </w:tr>
      <w:tr>
        <w:trPr>
          <w:cantSplit/>
        </w:trPr>
        <w:tc>
          <w:tcPr>
            <w:tcW w:type="dxa" w:w="2304"/>
            <w:vAlign w:val="center"/>
            <w:tcMar>
              <w:top w:w="85" w:type="dxa"/>
              <w:left w:w="85" w:type="dxa"/>
              <w:bottom w:w="85" w:type="dxa"/>
              <w:right w:w="85" w:type="dxa"/>
            </w:tcMar>
          </w:tcPr>
          <w:p>
            <w:pPr>
              <w:spacing w:after="0" w:line="252" w:lineRule="auto"/>
            </w:pPr>
            <w:r>
              <w:rPr>
                <w:sz w:val="20"/>
              </w:rPr>
              <w:t>Нижняя площадка</w:t>
            </w:r>
          </w:p>
        </w:tc>
        <w:tc>
          <w:tcPr>
            <w:tcW w:type="dxa" w:w="7776"/>
            <w:vAlign w:val="center"/>
            <w:tcMar>
              <w:top w:w="85" w:type="dxa"/>
              <w:left w:w="85" w:type="dxa"/>
              <w:bottom w:w="85" w:type="dxa"/>
              <w:right w:w="85" w:type="dxa"/>
            </w:tcMar>
          </w:tcPr>
          <w:p>
            <w:pPr>
              <w:spacing w:after="0" w:line="252" w:lineRule="auto"/>
            </w:pPr>
            <w:r>
              <w:rPr>
                <w:sz w:val="20"/>
              </w:rPr>
              <w:t>Допускается плоская нижняя часть высотой не более 20 мм от нижней точки сферы.</w:t>
            </w:r>
          </w:p>
        </w:tc>
      </w:tr>
      <w:tr>
        <w:trPr>
          <w:cantSplit/>
        </w:trPr>
        <w:tc>
          <w:tcPr>
            <w:tcW w:type="dxa" w:w="2304"/>
            <w:vAlign w:val="center"/>
            <w:tcMar>
              <w:top w:w="85" w:type="dxa"/>
              <w:left w:w="85" w:type="dxa"/>
              <w:bottom w:w="85" w:type="dxa"/>
              <w:right w:w="85" w:type="dxa"/>
            </w:tcMar>
          </w:tcPr>
          <w:p>
            <w:pPr>
              <w:spacing w:after="0" w:line="252" w:lineRule="auto"/>
            </w:pPr>
            <w:r>
              <w:rPr>
                <w:sz w:val="20"/>
              </w:rPr>
              <w:t>Отверстия каркаса</w:t>
            </w:r>
          </w:p>
        </w:tc>
        <w:tc>
          <w:tcPr>
            <w:tcW w:type="dxa" w:w="7776"/>
            <w:vAlign w:val="center"/>
            <w:tcMar>
              <w:top w:w="85" w:type="dxa"/>
              <w:left w:w="85" w:type="dxa"/>
              <w:bottom w:w="85" w:type="dxa"/>
              <w:right w:w="85" w:type="dxa"/>
            </w:tcMar>
          </w:tcPr>
          <w:p>
            <w:pPr>
              <w:spacing w:after="0" w:line="252" w:lineRule="auto"/>
            </w:pPr>
            <w:r>
              <w:rPr>
                <w:sz w:val="20"/>
              </w:rPr>
              <w:t>Площадь каждого отдельного открытого участка не более 150 см².</w:t>
            </w:r>
          </w:p>
        </w:tc>
      </w:tr>
      <w:tr>
        <w:trPr>
          <w:cantSplit/>
        </w:trPr>
        <w:tc>
          <w:tcPr>
            <w:tcW w:type="dxa" w:w="2304"/>
            <w:vAlign w:val="center"/>
            <w:tcMar>
              <w:top w:w="85" w:type="dxa"/>
              <w:left w:w="85" w:type="dxa"/>
              <w:bottom w:w="85" w:type="dxa"/>
              <w:right w:w="85" w:type="dxa"/>
            </w:tcMar>
          </w:tcPr>
          <w:p>
            <w:pPr>
              <w:spacing w:after="0" w:line="252" w:lineRule="auto"/>
            </w:pPr>
            <w:r>
              <w:rPr>
                <w:sz w:val="20"/>
              </w:rPr>
              <w:t>Пропеллеры</w:t>
            </w:r>
          </w:p>
        </w:tc>
        <w:tc>
          <w:tcPr>
            <w:tcW w:type="dxa" w:w="7776"/>
            <w:vAlign w:val="center"/>
            <w:tcMar>
              <w:top w:w="85" w:type="dxa"/>
              <w:left w:w="85" w:type="dxa"/>
              <w:bottom w:w="85" w:type="dxa"/>
              <w:right w:w="85" w:type="dxa"/>
            </w:tcMar>
          </w:tcPr>
          <w:p>
            <w:pPr>
              <w:spacing w:after="0" w:line="252" w:lineRule="auto"/>
            </w:pPr>
            <w:r>
              <w:rPr>
                <w:sz w:val="20"/>
              </w:rPr>
              <w:t>Неметаллические, диаметром не более 3 дюймов, то есть 76,2 мм; полностью внутри защиты.</w:t>
            </w:r>
          </w:p>
        </w:tc>
      </w:tr>
      <w:tr>
        <w:trPr>
          <w:cantSplit/>
        </w:trPr>
        <w:tc>
          <w:tcPr>
            <w:tcW w:type="dxa" w:w="2304"/>
            <w:vAlign w:val="center"/>
            <w:tcMar>
              <w:top w:w="85" w:type="dxa"/>
              <w:left w:w="85" w:type="dxa"/>
              <w:bottom w:w="85" w:type="dxa"/>
              <w:right w:w="85" w:type="dxa"/>
            </w:tcMar>
          </w:tcPr>
          <w:p>
            <w:pPr>
              <w:spacing w:after="0" w:line="252" w:lineRule="auto"/>
            </w:pPr>
            <w:r>
              <w:rPr>
                <w:sz w:val="20"/>
              </w:rPr>
              <w:t>Аккумулятор</w:t>
            </w:r>
          </w:p>
        </w:tc>
        <w:tc>
          <w:tcPr>
            <w:tcW w:type="dxa" w:w="7776"/>
            <w:vAlign w:val="center"/>
            <w:tcMar>
              <w:top w:w="85" w:type="dxa"/>
              <w:left w:w="85" w:type="dxa"/>
              <w:bottom w:w="85" w:type="dxa"/>
              <w:right w:w="85" w:type="dxa"/>
            </w:tcMar>
          </w:tcPr>
          <w:p>
            <w:pPr>
              <w:spacing w:after="0" w:line="252" w:lineRule="auto"/>
            </w:pPr>
            <w:r>
              <w:rPr>
                <w:sz w:val="20"/>
              </w:rPr>
              <w:t>Не более 4S; до 4,25 В на полностью заряженную ячейку, суммарно до 17,0 В для 4S. Все ограничения изготовителя также соблюдаются.</w:t>
            </w:r>
          </w:p>
        </w:tc>
      </w:tr>
      <w:tr>
        <w:trPr>
          <w:cantSplit/>
        </w:trPr>
        <w:tc>
          <w:tcPr>
            <w:tcW w:type="dxa" w:w="2304"/>
            <w:vAlign w:val="center"/>
            <w:tcMar>
              <w:top w:w="85" w:type="dxa"/>
              <w:left w:w="85" w:type="dxa"/>
              <w:bottom w:w="85" w:type="dxa"/>
              <w:right w:w="85" w:type="dxa"/>
            </w:tcMar>
          </w:tcPr>
          <w:p>
            <w:pPr>
              <w:spacing w:after="0" w:line="252" w:lineRule="auto"/>
            </w:pPr>
            <w:r>
              <w:rPr>
                <w:sz w:val="20"/>
              </w:rPr>
              <w:t>Радиоуправление</w:t>
            </w:r>
          </w:p>
        </w:tc>
        <w:tc>
          <w:tcPr>
            <w:tcW w:type="dxa" w:w="7776"/>
            <w:vAlign w:val="center"/>
            <w:tcMar>
              <w:top w:w="85" w:type="dxa"/>
              <w:left w:w="85" w:type="dxa"/>
              <w:bottom w:w="85" w:type="dxa"/>
              <w:right w:w="85" w:type="dxa"/>
            </w:tcMar>
          </w:tcPr>
          <w:p>
            <w:pPr>
              <w:spacing w:after="0" w:line="252" w:lineRule="auto"/>
            </w:pPr>
            <w:r>
              <w:rPr>
                <w:sz w:val="20"/>
              </w:rPr>
              <w:t>2,4 ГГц с расширением спектра и соблюдением действующих требований к радиооборудованию.</w:t>
            </w:r>
          </w:p>
        </w:tc>
      </w:tr>
      <w:tr>
        <w:trPr>
          <w:cantSplit/>
        </w:trPr>
        <w:tc>
          <w:tcPr>
            <w:tcW w:type="dxa" w:w="2304"/>
            <w:vAlign w:val="center"/>
            <w:tcMar>
              <w:top w:w="85" w:type="dxa"/>
              <w:left w:w="85" w:type="dxa"/>
              <w:bottom w:w="85" w:type="dxa"/>
              <w:right w:w="85" w:type="dxa"/>
            </w:tcMar>
          </w:tcPr>
          <w:p>
            <w:pPr>
              <w:spacing w:after="0" w:line="252" w:lineRule="auto"/>
            </w:pPr>
            <w:r>
              <w:rPr>
                <w:sz w:val="20"/>
              </w:rPr>
              <w:t>Световая маркировка</w:t>
            </w:r>
          </w:p>
        </w:tc>
        <w:tc>
          <w:tcPr>
            <w:tcW w:type="dxa" w:w="7776"/>
            <w:vAlign w:val="center"/>
            <w:tcMar>
              <w:top w:w="85" w:type="dxa"/>
              <w:left w:w="85" w:type="dxa"/>
              <w:bottom w:w="85" w:type="dxa"/>
              <w:right w:w="85" w:type="dxa"/>
            </w:tcMar>
          </w:tcPr>
          <w:p>
            <w:pPr>
              <w:spacing w:after="0" w:line="252" w:lineRule="auto"/>
            </w:pPr>
            <w:r>
              <w:rPr>
                <w:sz w:val="20"/>
              </w:rPr>
              <w:t>Не менее 16 светодиодов по окружности несущей рамы с переключением красного и синего цветов; не менее 6 дополнительных светодиодов сзади.</w:t>
            </w:r>
          </w:p>
        </w:tc>
      </w:tr>
      <w:tr>
        <w:trPr>
          <w:cantSplit/>
        </w:trPr>
        <w:tc>
          <w:tcPr>
            <w:tcW w:type="dxa" w:w="2304"/>
            <w:vAlign w:val="center"/>
            <w:tcMar>
              <w:top w:w="85" w:type="dxa"/>
              <w:left w:w="85" w:type="dxa"/>
              <w:bottom w:w="85" w:type="dxa"/>
              <w:right w:w="85" w:type="dxa"/>
            </w:tcMar>
          </w:tcPr>
          <w:p>
            <w:pPr>
              <w:spacing w:after="0" w:line="252" w:lineRule="auto"/>
            </w:pPr>
            <w:r>
              <w:rPr>
                <w:sz w:val="20"/>
              </w:rPr>
              <w:t>Нападающий</w:t>
            </w:r>
          </w:p>
        </w:tc>
        <w:tc>
          <w:tcPr>
            <w:tcW w:type="dxa" w:w="7776"/>
            <w:vAlign w:val="center"/>
            <w:tcMar>
              <w:top w:w="85" w:type="dxa"/>
              <w:left w:w="85" w:type="dxa"/>
              <w:bottom w:w="85" w:type="dxa"/>
              <w:right w:w="85" w:type="dxa"/>
            </w:tcMar>
          </w:tcPr>
          <w:p>
            <w:pPr>
              <w:spacing w:after="0" w:line="252" w:lineRule="auto"/>
            </w:pPr>
            <w:r>
              <w:rPr>
                <w:sz w:val="20"/>
              </w:rPr>
              <w:t>Задняя подсветка цвета соперника: синяя у красной команды и красная у синей. Остальные задние цвета различают аппараты внутри команды.</w:t>
            </w:r>
          </w:p>
        </w:tc>
      </w:tr>
      <w:tr>
        <w:trPr>
          <w:cantSplit/>
        </w:trPr>
        <w:tc>
          <w:tcPr>
            <w:tcW w:type="dxa" w:w="2304"/>
            <w:vAlign w:val="center"/>
            <w:tcMar>
              <w:top w:w="85" w:type="dxa"/>
              <w:left w:w="85" w:type="dxa"/>
              <w:bottom w:w="85" w:type="dxa"/>
              <w:right w:w="85" w:type="dxa"/>
            </w:tcMar>
          </w:tcPr>
          <w:p>
            <w:pPr>
              <w:spacing w:after="0" w:line="252" w:lineRule="auto"/>
            </w:pPr>
            <w:r>
              <w:rPr>
                <w:sz w:val="20"/>
              </w:rPr>
              <w:t>Аварийное отключение</w:t>
            </w:r>
          </w:p>
        </w:tc>
        <w:tc>
          <w:tcPr>
            <w:tcW w:type="dxa" w:w="7776"/>
            <w:vAlign w:val="center"/>
            <w:tcMar>
              <w:top w:w="85" w:type="dxa"/>
              <w:left w:w="85" w:type="dxa"/>
              <w:bottom w:w="85" w:type="dxa"/>
              <w:right w:w="85" w:type="dxa"/>
            </w:tcMar>
          </w:tcPr>
          <w:p>
            <w:pPr>
              <w:spacing w:after="0" w:line="252" w:lineRule="auto"/>
            </w:pPr>
            <w:r>
              <w:rPr>
                <w:sz w:val="20"/>
              </w:rPr>
              <w:t>Рабочий failsafe с остановкой моторов и команда немедленного отключения у пилота.</w:t>
            </w:r>
          </w:p>
        </w:tc>
      </w:tr>
    </w:tbl>
    <w:p>
      <w:pPr>
        <w:spacing w:after="0"/>
      </w:pPr>
    </w:p>
    <w:p>
      <w:r>
        <w:rPr>
          <w:b/>
        </w:rPr>
        <w:t xml:space="preserve">4.1. </w:t>
      </w:r>
      <w:r>
        <w:t>Командная подсветка должна быть видна с разных направлений. Цвета индивидуальной задней подсветки остальных дронов должны отличаться друг от друга и не скрывать обозначение нападающего. Дополнительный мягкий флажок нападающего может потребоваться по объявленному до турнира условию; он не должен попадать в винты или цепляться за сетку.</w:t>
      </w:r>
    </w:p>
    <w:p>
      <w:r>
        <w:rPr>
          <w:b/>
        </w:rPr>
        <w:t xml:space="preserve">4.2. </w:t>
      </w:r>
      <w:r>
        <w:t>Разрешается ручное радиоуправление с обычной стабилизацией полета. Запрещены запрограммированные игровые маневры, автономное наведение на ворота, автоматическое позиционирование и автоматическая коррекция маршрута по координатам или высоте. Допустимы разрешенные FAI режимы восстановления после падения, включая переворот аппарата и выравнивание после аварии; они не должны превращаться в автоматическую игру.</w:t>
      </w:r>
    </w:p>
    <w:p>
      <w:r>
        <w:rPr>
          <w:b/>
        </w:rPr>
        <w:t xml:space="preserve">4.3. </w:t>
      </w:r>
      <w:r>
        <w:t>Фиксированная марка мотора, регулятора, контроллера, протокол приемника, емкость батареи или модель производителя не устанавливаются. Соответствие определяется по перечисленным ограничениям и безопасности конкретного аппарата. Камера сама по себе не дает права использовать автономное наведение; применение видеолинии заранее согласуется по радиочастотам и безопасности.</w:t>
      </w:r>
    </w:p>
    <w:p>
      <w:pPr>
        <w:pStyle w:val="Heading1"/>
      </w:pPr>
      <w:r>
        <w:t>5 Техническая комиссия и повторный допуск</w:t>
      </w:r>
    </w:p>
    <w:p>
      <w:r>
        <w:rPr>
          <w:b/>
        </w:rPr>
        <w:t xml:space="preserve">5.1. </w:t>
      </w:r>
      <w:r>
        <w:t>Допускается серийная, доработанная или самостоятельно собранная техника любого производителя при выполнении всех требований выбранной лиги. Покупка оборудования у организатора не является условием участия. Название модели или отметка продавца не заменяют техническую проверку конкретного экземпляра.</w:t>
      </w:r>
    </w:p>
    <w:p>
      <w:r>
        <w:rPr>
          <w:b/>
        </w:rPr>
        <w:t xml:space="preserve">5.2. </w:t>
      </w:r>
      <w:r>
        <w:t>Команда предъявляет каждый основной и запасной дрон в игровой конфигурации, аккумуляторы, пульты, схему маркировки и перечень существенных изменений. Инспектор фиксирует идентификатор дрона, тип моторов, размеры, полетную массу, параметры питания, состояние защиты, световую маркировку и результат проверки аварийного отключения.</w:t>
      </w:r>
    </w:p>
    <w:p>
      <w:r>
        <w:rPr>
          <w:b/>
        </w:rPr>
        <w:t xml:space="preserve">5.3. </w:t>
      </w:r>
      <w:r>
        <w:t>Полетная масса измеряется с аккумулятором, защитой, подсветкой и всеми деталями, которые будут установлены в игре. Габарит проверяется по внешнему защитному каркасу без его сжатия. Выступающие жесткие детали запрещены. Мягкая дополнительная метка нападающего допускается лишь там, где это разрешено правилами лиги и подтверждено судьей.</w:t>
      </w:r>
    </w:p>
    <w:p>
      <w:r>
        <w:rPr>
          <w:b/>
        </w:rPr>
        <w:t xml:space="preserve">5.4. </w:t>
      </w:r>
      <w:r>
        <w:t>Весы должны иметь шаг не более 0,1 г, измерительный инструмент — не более 1 мм. До начала проверки комиссия проверяет исправность приборов. Превышение установленной массы не округляется вниз. При спорном значении проводится повторное измерение в присутствии руководителя; применяется один порядок ко всем командам.</w:t>
      </w:r>
    </w:p>
    <w:p>
      <w:r>
        <w:rPr>
          <w:b/>
        </w:rPr>
        <w:t xml:space="preserve">5.5. </w:t>
      </w:r>
      <w:r>
        <w:t>Failsafe должен останавливать моторы при потере управления. Дополнительно проверяется доступная пилоту команда немедленного отключения моторов. Проверка проводится безопасным способом, исключающим свободный полет и контакт с винтами. Отключение пульта не используется как единственный способ повседневной остановки.</w:t>
      </w:r>
    </w:p>
    <w:p>
      <w:r>
        <w:rPr>
          <w:b/>
        </w:rPr>
        <w:t xml:space="preserve">5.6. </w:t>
      </w:r>
      <w:r>
        <w:t>Дрон получает отметку «допущен», «на исправление» или «не допущен» с указанием причины. После ремонта, замены моторов, защиты, контроллера, прошивки либо перехода на иной тип аккумулятора требуется повторная проверка затронутых параметров. Замена батареи на идентичную исправную и заряженную не требует повторной полной комиссии.</w:t>
      </w:r>
    </w:p>
    <w:p>
      <w:r>
        <w:rPr>
          <w:b/>
        </w:rPr>
        <w:t xml:space="preserve">5.7. </w:t>
      </w:r>
      <w:r>
        <w:t>Комиссия вправе повторно проверить дрон перед или после матча. До старта несоответствие ведет к недопуску этого аппарата с возможностью замены. Использование несоответствующей техники в игре рассматривается по дисциплинарным правилам соответствующей лиги; результат и санкция оформляются отдельно, а не автоматически стираются из базы.</w:t>
      </w:r>
    </w:p>
    <w:p>
      <w:r>
        <w:rPr>
          <w:b/>
        </w:rPr>
        <w:t xml:space="preserve">5.8. </w:t>
      </w:r>
      <w:r>
        <w:t>Применение радиоподавления, чужих идентификаторов связи, скрытого управления третьим лицом, автономного прохождения игровых маршрутов и программного вмешательства в счет запрещено. Включение передатчиков и видеопередатчиков вне выделенных зон допускается только по порядку, объявленному ответственным за радиочастоты.</w:t>
      </w:r>
    </w:p>
    <w:p>
      <w:pPr>
        <w:pStyle w:val="Heading1"/>
      </w:pPr>
      <w:r>
        <w:t>6 Арена Pro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776"/>
      </w:tblGrid>
      <w:tr>
        <w:trPr>
          <w:cantSplit/>
          <w:tblHeader/>
        </w:trPr>
        <w:tc>
          <w:tcPr>
            <w:tcW w:type="dxa" w:w="2304"/>
            <w:vAlign w:val="center"/>
            <w:tcMar>
              <w:top w:w="85" w:type="dxa"/>
              <w:left w:w="85" w:type="dxa"/>
              <w:bottom w:w="85" w:type="dxa"/>
              <w:right w:w="85" w:type="dxa"/>
            </w:tcMar>
            <w:shd w:fill="DCE6EE"/>
          </w:tcPr>
          <w:p>
            <w:pPr>
              <w:keepNext/>
              <w:spacing w:after="0" w:line="252" w:lineRule="auto"/>
            </w:pPr>
            <w:r>
              <w:rPr>
                <w:b/>
                <w:sz w:val="20"/>
              </w:rPr>
              <w:t>Элемент</w:t>
            </w:r>
          </w:p>
        </w:tc>
        <w:tc>
          <w:tcPr>
            <w:tcW w:type="dxa" w:w="7776"/>
            <w:vAlign w:val="center"/>
            <w:tcMar>
              <w:top w:w="85" w:type="dxa"/>
              <w:left w:w="85" w:type="dxa"/>
              <w:bottom w:w="85" w:type="dxa"/>
              <w:right w:w="85" w:type="dxa"/>
            </w:tcMar>
            <w:shd w:fill="DCE6EE"/>
          </w:tcPr>
          <w:p>
            <w:pPr>
              <w:keepNext/>
              <w:spacing w:after="0" w:line="252" w:lineRule="auto"/>
            </w:pPr>
            <w:r>
              <w:rPr>
                <w:b/>
                <w:sz w:val="20"/>
              </w:rPr>
              <w:t>Базовая конфигурация</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Игровая зона</w:t>
            </w:r>
          </w:p>
        </w:tc>
        <w:tc>
          <w:tcPr>
            <w:tcW w:type="dxa" w:w="7776"/>
            <w:vAlign w:val="center"/>
            <w:tcMar>
              <w:top w:w="85" w:type="dxa"/>
              <w:left w:w="85" w:type="dxa"/>
              <w:bottom w:w="85" w:type="dxa"/>
              <w:right w:w="85" w:type="dxa"/>
            </w:tcMar>
          </w:tcPr>
          <w:p>
            <w:pPr>
              <w:keepNext/>
              <w:spacing w:after="0" w:line="252" w:lineRule="auto"/>
            </w:pPr>
            <w:r>
              <w:rPr>
                <w:sz w:val="20"/>
              </w:rPr>
              <w:t>6 × 3 м; высота защитной сетки 3 м; полностью закрытые бока и верх.</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Разметка</w:t>
            </w:r>
          </w:p>
        </w:tc>
        <w:tc>
          <w:tcPr>
            <w:tcW w:type="dxa" w:w="7776"/>
            <w:vAlign w:val="center"/>
            <w:tcMar>
              <w:top w:w="85" w:type="dxa"/>
              <w:left w:w="85" w:type="dxa"/>
              <w:bottom w:w="85" w:type="dxa"/>
              <w:right w:w="85" w:type="dxa"/>
            </w:tcMar>
          </w:tcPr>
          <w:p>
            <w:pPr>
              <w:keepNext/>
              <w:spacing w:after="0" w:line="252" w:lineRule="auto"/>
            </w:pPr>
            <w:r>
              <w:rPr>
                <w:sz w:val="20"/>
              </w:rPr>
              <w:t>Центральная линия, две одинаковые стартовые зоны у коротких сторон. Глубина стартовой зоны не более 1 м.</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Ворота</w:t>
            </w:r>
          </w:p>
        </w:tc>
        <w:tc>
          <w:tcPr>
            <w:tcW w:type="dxa" w:w="7776"/>
            <w:vAlign w:val="center"/>
            <w:tcMar>
              <w:top w:w="85" w:type="dxa"/>
              <w:left w:w="85" w:type="dxa"/>
              <w:bottom w:w="85" w:type="dxa"/>
              <w:right w:w="85" w:type="dxa"/>
            </w:tcMar>
          </w:tcPr>
          <w:p>
            <w:pPr>
              <w:keepNext/>
              <w:spacing w:after="0" w:line="252" w:lineRule="auto"/>
            </w:pPr>
            <w:r>
              <w:rPr>
                <w:sz w:val="20"/>
              </w:rPr>
              <w:t>Два одинаковых круглых кольца: внутренний диаметр 400 мм, наружный 700 мм, толщина не более 100 мм.</w:t>
            </w:r>
          </w:p>
        </w:tc>
      </w:tr>
      <w:tr>
        <w:trPr>
          <w:cantSplit/>
        </w:trPr>
        <w:tc>
          <w:tcPr>
            <w:tcW w:type="dxa" w:w="2304"/>
            <w:vAlign w:val="center"/>
            <w:tcMar>
              <w:top w:w="85" w:type="dxa"/>
              <w:left w:w="85" w:type="dxa"/>
              <w:bottom w:w="85" w:type="dxa"/>
              <w:right w:w="85" w:type="dxa"/>
            </w:tcMar>
          </w:tcPr>
          <w:p>
            <w:pPr>
              <w:keepNext/>
              <w:spacing w:after="0" w:line="252" w:lineRule="auto"/>
            </w:pPr>
            <w:r>
              <w:rPr>
                <w:sz w:val="20"/>
              </w:rPr>
              <w:t>Размещение ворот</w:t>
            </w:r>
          </w:p>
        </w:tc>
        <w:tc>
          <w:tcPr>
            <w:tcW w:type="dxa" w:w="7776"/>
            <w:vAlign w:val="center"/>
            <w:tcMar>
              <w:top w:w="85" w:type="dxa"/>
              <w:left w:w="85" w:type="dxa"/>
              <w:bottom w:w="85" w:type="dxa"/>
              <w:right w:w="85" w:type="dxa"/>
            </w:tcMar>
          </w:tcPr>
          <w:p>
            <w:pPr>
              <w:keepNext/>
              <w:spacing w:after="0" w:line="252" w:lineRule="auto"/>
            </w:pPr>
            <w:r>
              <w:rPr>
                <w:sz w:val="20"/>
              </w:rPr>
              <w:t>В 1 м от короткой стороны; высота от пола до нижней точки внутреннего проема 2 м. Кольца обращены к центру.</w:t>
            </w:r>
          </w:p>
        </w:tc>
      </w:tr>
      <w:tr>
        <w:trPr>
          <w:cantSplit/>
        </w:trPr>
        <w:tc>
          <w:tcPr>
            <w:tcW w:type="dxa" w:w="2304"/>
            <w:vAlign w:val="center"/>
            <w:tcMar>
              <w:top w:w="85" w:type="dxa"/>
              <w:left w:w="85" w:type="dxa"/>
              <w:bottom w:w="85" w:type="dxa"/>
              <w:right w:w="85" w:type="dxa"/>
            </w:tcMar>
          </w:tcPr>
          <w:p>
            <w:pPr>
              <w:spacing w:after="0" w:line="252" w:lineRule="auto"/>
            </w:pPr>
            <w:r>
              <w:rPr>
                <w:sz w:val="20"/>
              </w:rPr>
              <w:t>Зоны пилотов</w:t>
            </w:r>
          </w:p>
        </w:tc>
        <w:tc>
          <w:tcPr>
            <w:tcW w:type="dxa" w:w="7776"/>
            <w:vAlign w:val="center"/>
            <w:tcMar>
              <w:top w:w="85" w:type="dxa"/>
              <w:left w:w="85" w:type="dxa"/>
              <w:bottom w:w="85" w:type="dxa"/>
              <w:right w:w="85" w:type="dxa"/>
            </w:tcMar>
          </w:tcPr>
          <w:p>
            <w:pPr>
              <w:spacing w:after="0" w:line="252" w:lineRule="auto"/>
            </w:pPr>
            <w:r>
              <w:rPr>
                <w:sz w:val="20"/>
              </w:rPr>
              <w:t>Вне сетки у коротких сторон; одинаковые условия обзора. Внутри во время игры людей нет.</w:t>
            </w:r>
          </w:p>
        </w:tc>
      </w:tr>
    </w:tbl>
    <w:p>
      <w:pPr>
        <w:spacing w:after="0"/>
      </w:pPr>
    </w:p>
    <w:p>
      <w:r>
        <w:rPr>
          <w:b/>
        </w:rPr>
        <w:t xml:space="preserve">6.1. </w:t>
      </w:r>
      <w:r>
        <w:t>Параметры 6 × 3 × 3 м и размеры колец приняты как базовые для лиги на основе рекомендованной конфигурации F9A-B. Иной размер игровой зоны допустим только при предварительной публикации и соблюдении требований FAI, включая отношение длины к ширине 2 к 1. В рамках одного турнира арены и ворота Pro League должны быть одинаковыми.</w:t>
      </w:r>
    </w:p>
    <w:p>
      <w:r>
        <w:rPr>
          <w:b/>
        </w:rPr>
        <w:t xml:space="preserve">6.2. </w:t>
      </w:r>
      <w:r>
        <w:t>Пол должен позволять устойчивый взлет и не иметь препятствий. Жесткие части каркаса защищаются мягким материалом. Кольца надежно закрепляются, не должны раскачиваться, деформироваться или падать. Перед матчем капитаны вправе осмотреть ворота; во время игры самостоятельно переставлять их запрещено.</w:t>
      </w:r>
    </w:p>
    <w:p>
      <w:pPr>
        <w:pStyle w:val="Heading1"/>
      </w:pPr>
      <w:r>
        <w:t>7 Система турнира и расписание</w:t>
      </w:r>
    </w:p>
    <w:p>
      <w:r>
        <w:rPr>
          <w:b/>
        </w:rPr>
        <w:t xml:space="preserve">7.1. </w:t>
      </w:r>
      <w:r>
        <w:t>Базовый формат Drone Football League — двойное выбывание с верхней и нижней сетками. Команда выбывает после второго поражения; исключения — добровольное снятие и дисциплинарная дисквалификация. Каждая лига разыгрывается отдельно. Формат и схема переходов публикуются не позднее чем за месяц до турнира и до открытия регистрации.</w:t>
      </w:r>
    </w:p>
    <w:p>
      <w:r>
        <w:rPr>
          <w:b/>
        </w:rPr>
        <w:t xml:space="preserve">7.2. </w:t>
      </w:r>
      <w:r>
        <w:t>Стартовые пары определяются открытой жеребьевкой после подтверждения допуска. До ее начала публикуются список команд, число мест в сетке и способ жеребьевки. Фиксированная сетка с заранее заданными переходами — организационный формат лиги; он не выдается за дословное воспроизведение процедуры жеребьевки каждого раунда FAI.</w:t>
      </w:r>
    </w:p>
    <w:p>
      <w:r>
        <w:rPr>
          <w:b/>
        </w:rPr>
        <w:t xml:space="preserve">7.3. </w:t>
      </w:r>
      <w:r>
        <w:t>При числе команд, не равном степени двойки, свободные проходы распределяются жеребьевкой. Свободный проход не является сыгранным матчем, голами или поражением. После старта сетка не перестраивается для выбора удобного соперника; освобожденные места отмечаются как проход без игры.</w:t>
      </w:r>
    </w:p>
    <w:p>
      <w:r>
        <w:rPr>
          <w:b/>
        </w:rPr>
        <w:t xml:space="preserve">7.4. </w:t>
      </w:r>
      <w:r>
        <w:t>Победитель матча верхней сетки остается в ней; проигравший переходит в предусмотренное место нижней сетки. Проигравший в нижней сетке выбывает. Техническое поражение считается одним поражением для движения по сетке.</w:t>
      </w:r>
    </w:p>
    <w:p>
      <w:r>
        <w:rPr>
          <w:b/>
        </w:rPr>
        <w:t xml:space="preserve">7.5. </w:t>
      </w:r>
      <w:r>
        <w:t>В гранд-финале встречаются победитель верхней сетки без поражений и победитель нижней с одним поражением. Победа команды верхней сетки завершает турнир. Если выигрывает команда нижней, проводится второй полный гранд-финал: у обеих команд к этому моменту по одному поражению. Второй матч определяет первое и второе места.</w:t>
      </w:r>
    </w:p>
    <w:p>
      <w:r>
        <w:rPr>
          <w:b/>
        </w:rPr>
        <w:t xml:space="preserve">7.6. </w:t>
      </w:r>
      <w:r>
        <w:t>Проигравший финал нижней сетки занимает третье место; отдельного матча за третье место нет. При двух допущенных командах проводятся встречи до двух поражений одной из команд; третье место не присуждается. При одной команде соревновательная категория не разыгрывается. Для остальных команд указывается раунд выбывания; одинаковые места не разделяются по произвольному сравнению голов.</w:t>
      </w:r>
    </w:p>
    <w:p>
      <w:r>
        <w:rPr>
          <w:b/>
        </w:rPr>
        <w:t xml:space="preserve">7.7. </w:t>
      </w:r>
      <w:r>
        <w:t>Команда находится в зоне ожидания за 10 минут до назначенного матча. Матч не начинают раньше опубликованного времени без согласия обеих команд. После официального вызова отсутствующей команды судья предоставляет пять минут ожидания; при неявке фиксируется техническое поражение. Задержка предыдущего матча или ошибка организатора не считается опозданием команды.</w:t>
      </w:r>
    </w:p>
    <w:p>
      <w:r>
        <w:rPr>
          <w:b/>
        </w:rPr>
        <w:t xml:space="preserve">7.8. </w:t>
      </w:r>
      <w:r>
        <w:t>Между окончанием одного матча команды и началом следующего предоставляется не менее 10 минут. Для повторного гранд-финала — не менее 15 минут. Организатор учитывает более длительные перерывы между сетами Open League при составлении расписания.</w:t>
      </w:r>
    </w:p>
    <w:p>
      <w:r>
        <w:rPr>
          <w:b/>
        </w:rPr>
        <w:t xml:space="preserve">7.9. </w:t>
      </w:r>
      <w:r>
        <w:t>Техническое поражение записывается как «ТП» с основанием и победителем. Несыгранным сетам и голам не приписываются вымышленные счета 0:3 или 0:10. Уже сыгранные сеты сохраняются в протоколе с отметкой о способе завершения матча.</w:t>
      </w:r>
    </w:p>
    <w:p>
      <w:r>
        <w:rPr>
          <w:b/>
        </w:rPr>
        <w:t xml:space="preserve">7.10. </w:t>
      </w:r>
      <w:r>
        <w:t>При снятии или дисквалификации после начала турнира команда не возвращается в сетку. Ранее утвержденные результаты сохраняются, если отдельным мотивированным решением не установлено нарушение именно в этих матчах. Порядок исправления затронутых результатов объявляется всем участникам и не применяется избирательно.</w:t>
      </w:r>
    </w:p>
    <w:p>
      <w:r>
        <w:rPr>
          <w:b/>
        </w:rPr>
        <w:t xml:space="preserve">7.11. </w:t>
      </w:r>
      <w:r>
        <w:t>Общесезонные рейтинговые очки, квоты на другие соревнования и переход между лигами не возникают автоматически из победы на одном турнире. Если вводится сезонный рейтинг, его формула, календарь зачетных этапов и правила равенства очков публикуются отдельным документом до первого зачетного этапа.</w:t>
      </w:r>
    </w:p>
    <w:p>
      <w:pPr>
        <w:pStyle w:val="Heading1"/>
      </w:pPr>
      <w:r>
        <w:t>8 Проведение матча Pro League</w:t>
      </w:r>
    </w:p>
    <w:p>
      <w:r>
        <w:rPr>
          <w:b/>
        </w:rPr>
        <w:t xml:space="preserve">8.1. </w:t>
      </w:r>
      <w:r>
        <w:t>Матч состоит из трех сетов по три минуты. В обычном ходе матча проводятся все три сета, в том числе после двух побед одной команды; исключения — техническое прекращение, снятие или решение о безопасности. Перерыв между сетами составляет две–три минуты; судья может продлить его по объективной общей причине, которую фиксирует в протоколе.</w:t>
      </w:r>
    </w:p>
    <w:p>
      <w:r>
        <w:rPr>
          <w:b/>
        </w:rPr>
        <w:t xml:space="preserve">8.2. </w:t>
      </w:r>
      <w:r>
        <w:t>Сторону выбирает команда, выигравшая жеребьевку монетой. Команды сохраняют стороны в течение матча; судья может изменить их при существенном внешнем неравенстве условий. Перед сетом он проверяет состав, нападающего и маркировку, разрешает подготовку моторов и через три–пять секунд подает отчетливый стартовый сигнал. Взлет до сигнала приводит к повторному старту и штрафной попытке соперника.</w:t>
      </w:r>
    </w:p>
    <w:p>
      <w:r>
        <w:rPr>
          <w:b/>
        </w:rPr>
        <w:t xml:space="preserve">8.3. </w:t>
      </w:r>
      <w:r>
        <w:t>Один гол засчитывается, когда весь дрон нападающего полностью пройдет сквозь кольцо соперника со стороны центра арены к лицевой стороне соперника. Касание кольца, неполный проход, движение в обратную сторону или проход дрона другого игрока голом не являются. За сам по себе проход ненападающего через чужое кольцо штраф не назначается.</w:t>
      </w:r>
    </w:p>
    <w:p>
      <w:r>
        <w:rPr>
          <w:b/>
        </w:rPr>
        <w:t xml:space="preserve">8.4. </w:t>
      </w:r>
      <w:r>
        <w:t>После засчитанного гола все остающиеся в игре дроны забившей команды должны полностью вернуться на свою половину за центральную линию. До этого следующая результативная атака запрещена. Гол с нарушением возврата не засчитывается, соперник получает штрафную попытку. Правило возврата относится к дронам, а не к месту, где стоят пилоты.</w:t>
      </w:r>
    </w:p>
    <w:p>
      <w:r>
        <w:rPr>
          <w:b/>
        </w:rPr>
        <w:t xml:space="preserve">8.5. </w:t>
      </w:r>
      <w:r>
        <w:t>Если аппарат лежит и не способен вернуться, пилот сообщает судье о прекращении участия в сете, отключает моторы и покидает зону пилотов. После подтверждения судьи этот аппарат не препятствует выполнению командой возврата, но вернуться в игру в данном сете уже не может. Соперник вправе игровой борьбой препятствовать возврату еще действующих дронов, соблюдая безопасность.</w:t>
      </w:r>
    </w:p>
    <w:p>
      <w:r>
        <w:rPr>
          <w:b/>
        </w:rPr>
        <w:t xml:space="preserve">8.6. </w:t>
      </w:r>
      <w:r>
        <w:t>Нападающий может защищать собственное кольцо, проходить через него и находиться внутри. Другой игрок вправе пролететь через свое кольцо только если этим не блокирует результативную атаку соперника. Проход или удержание другого дрона в своем кольце именно ради защиты влечет штрафную попытку. Защита пространства перед кольцом вне его проема разрешена.</w:t>
      </w:r>
    </w:p>
    <w:p>
      <w:r>
        <w:rPr>
          <w:b/>
        </w:rPr>
        <w:t xml:space="preserve">8.7. </w:t>
      </w:r>
      <w:r>
        <w:t>При неисправности нападающего капитан один раз за сет может попросить специальную остановку для назначения другого нападающего из оставшихся действующих пилотов. Судья останавливает время и сажает все дроны; прежний нападающий отключает моторы и выходит из игры, новому меняют маркировку и размещают его в стартовой зоне. Это не ввод резервного пилота и не право починить прежний аппарат в ходе сета.</w:t>
      </w:r>
    </w:p>
    <w:p>
      <w:r>
        <w:rPr>
          <w:b/>
        </w:rPr>
        <w:t xml:space="preserve">8.8. </w:t>
      </w:r>
      <w:r>
        <w:t>Штрафные попытки за игровые нарушения выполняются после окончания основного времени сета на оставшемся заряде батареи, что заранее устанавливается этой редакцией. Их время не входит в три минуты игры; штрафы команд не взаимозачитываются. В попытке участвуют нападающий и один защитник соперника, остальные аппараты выключены. На попытку дается 10 секунд; после первого правильного гола она заканчивается. За одну попытку засчитывается не более одного гола. Это единое процедурное уточнение лиги.</w:t>
      </w:r>
    </w:p>
    <w:p>
      <w:r>
        <w:rPr>
          <w:b/>
        </w:rPr>
        <w:t xml:space="preserve">8.9. </w:t>
      </w:r>
      <w:r>
        <w:t>Для штрафной попытки нападающий стартует от центральной линии со своей стороны, защитник — из своей стартовой зоны. Все люди покидают арену до включения моторов. Если нападающий не может безопасно выполнить попытку имеющейся допущенной техникой на остатке заряда, она считается нереализованной; отсутствие готового защитника не отменяет попытку и она выполняется без защиты. Голы этих попыток включаются в счет соответствующего сета.</w:t>
      </w:r>
    </w:p>
    <w:p>
      <w:r>
        <w:rPr>
          <w:b/>
        </w:rPr>
        <w:t xml:space="preserve">8.10. </w:t>
      </w:r>
      <w:r>
        <w:t>Победитель сета определяется после учета назначенных штрафных попыток. Большее число голов дает победу в сете; равенство означает ничью. Голы разных сетов не складываются для определения победителя матча. Две выигранные партии дают победу в матче; ничья в сете не является половиной победы.</w:t>
      </w:r>
    </w:p>
    <w:p>
      <w:r>
        <w:rPr>
          <w:b/>
        </w:rPr>
        <w:t xml:space="preserve">8.11. </w:t>
      </w:r>
      <w:r>
        <w:t>Для фиксированной сетки этой лиги заранее установлен порядок на случай, когда после трех сетов ни одна команда не выиграла два: дополнительный сет до первого гола, максимум три минуты, затем при отсутствии гола серия штрафных попыток. Этот порядок применяется также при счете по выигранным сетам 1:0 с двумя ничьими, чтобы не оставлять спорного случая без решения. Гол в дополнительном сете сразу определяет победителя матча.</w:t>
      </w:r>
    </w:p>
    <w:p>
      <w:r>
        <w:rPr>
          <w:b/>
        </w:rPr>
        <w:t xml:space="preserve">8.12. </w:t>
      </w:r>
      <w:r>
        <w:t>Серия для определения победителя включает по пять попыток каждой команды длительностью до 10 секунд. В каждой попытке участвуют один атакующий и один защитник; до серии разрешается заменить батареи. Капитаны заранее сообщают порядок пилотов и защитников. По возможности попытки выполняют разные допущенные пилоты; каждый доступный пилот выполняет одну попытку до повтора пилотом цикла. Удаленный до конца матча пилот в серии не участвует.</w:t>
      </w:r>
    </w:p>
    <w:p>
      <w:r>
        <w:rPr>
          <w:b/>
        </w:rPr>
        <w:t xml:space="preserve">8.13. </w:t>
      </w:r>
      <w:r>
        <w:t>Команды выполняют попытки поочередно, первая определяется жеребьевкой. За попытку засчитывается не более одного гола. После одинакового числа пяти попыток побеждает команда с большим числом голов; при равенстве проводится по одной дополнительной попытке до различия при равном числе попыток. Порядок пилотов сохраняется циклически. Результат серии записывается отдельно и не добавляется к голам основных сетов.</w:t>
      </w:r>
    </w:p>
    <w:p>
      <w:r>
        <w:rPr>
          <w:b/>
        </w:rPr>
        <w:t xml:space="preserve">8.14. </w:t>
      </w:r>
      <w:r>
        <w:t>Повтор попытки возможен при подтвержденной внешней помехе или существенной ошибке процедуры. Неудачная атака и обычная поломка не дают права на повтор. В дополнительном сете и серии сохраняются действующие удаления и требования безопасности.</w:t>
      </w:r>
    </w:p>
    <w:p>
      <w:r>
        <w:rPr>
          <w:b/>
        </w:rPr>
        <w:t xml:space="preserve">8.15. </w:t>
      </w:r>
      <w:r>
        <w:t>При внешнем прерывании сета, требующем доступа в арену или устранения неисправности площадки, сет по возможности переигрывается полностью. Если судья устанавливает непосредственную ответственность команды за такое прерывание, ей засчитывается поражение в сете по FAI. Специальная остановка для смены неисправного нападающего не является внешним прерыванием: после нее сохраняются счет и оставшееся время.</w:t>
      </w:r>
    </w:p>
    <w:p>
      <w:r>
        <w:rPr>
          <w:b/>
        </w:rPr>
        <w:t xml:space="preserve">8.16. </w:t>
      </w:r>
      <w:r>
        <w:t>Если матч окончательно прекращен, применяется FAI F9A.8.6: учитывается число выигранных сетов, а при равенстве и необходимости определить победителя — жеребьевка монетой. Основание прекращения и способ определения результата фиксируются. Красная карточка отдельному игроку сама по себе не является автоматическим поражением команды; последствия определяются правилами удаления.</w:t>
      </w:r>
    </w:p>
    <w:p>
      <w:pPr>
        <w:pStyle w:val="Heading1"/>
      </w:pPr>
      <w:r>
        <w:t>9 Нарушения и санкции Pro League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24"/>
        <w:gridCol w:w="5256"/>
      </w:tblGrid>
      <w:tr>
        <w:trPr>
          <w:cantSplit/>
          <w:tblHeader/>
        </w:trPr>
        <w:tc>
          <w:tcPr>
            <w:tcW w:type="dxa" w:w="4824"/>
            <w:vAlign w:val="center"/>
            <w:tcMar>
              <w:top w:w="85" w:type="dxa"/>
              <w:left w:w="85" w:type="dxa"/>
              <w:bottom w:w="85" w:type="dxa"/>
              <w:right w:w="85" w:type="dxa"/>
            </w:tcMar>
            <w:shd w:fill="DCE6EE"/>
          </w:tcPr>
          <w:p>
            <w:pPr>
              <w:keepNext/>
              <w:spacing w:after="0" w:line="252" w:lineRule="auto"/>
            </w:pPr>
            <w:r>
              <w:rPr>
                <w:b/>
                <w:sz w:val="20"/>
              </w:rPr>
              <w:t>Нарушение</w:t>
            </w:r>
          </w:p>
        </w:tc>
        <w:tc>
          <w:tcPr>
            <w:tcW w:type="dxa" w:w="5256"/>
            <w:vAlign w:val="center"/>
            <w:tcMar>
              <w:top w:w="85" w:type="dxa"/>
              <w:left w:w="85" w:type="dxa"/>
              <w:bottom w:w="85" w:type="dxa"/>
              <w:right w:w="85" w:type="dxa"/>
            </w:tcMar>
            <w:shd w:fill="DCE6EE"/>
          </w:tcPr>
          <w:p>
            <w:pPr>
              <w:keepNext/>
              <w:spacing w:after="0" w:line="252" w:lineRule="auto"/>
            </w:pPr>
            <w:r>
              <w:rPr>
                <w:b/>
                <w:sz w:val="20"/>
              </w:rPr>
              <w:t>Последствие</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Ранний взлет, нарушение обязательного возврата, запрещенная защита в своем кольце</w:t>
            </w:r>
          </w:p>
        </w:tc>
        <w:tc>
          <w:tcPr>
            <w:tcW w:type="dxa" w:w="5256"/>
            <w:vAlign w:val="center"/>
            <w:tcMar>
              <w:top w:w="85" w:type="dxa"/>
              <w:left w:w="85" w:type="dxa"/>
              <w:bottom w:w="85" w:type="dxa"/>
              <w:right w:w="85" w:type="dxa"/>
            </w:tcMar>
          </w:tcPr>
          <w:p>
            <w:pPr>
              <w:keepNext/>
              <w:spacing w:after="0" w:line="252" w:lineRule="auto"/>
            </w:pPr>
            <w:r>
              <w:rPr>
                <w:sz w:val="20"/>
              </w:rPr>
              <w:t>Штрафная попытка соперника; гол, полученный вследствие нарушения возврата, отменяется.</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Посторонний в зоне пилотов, неразрешенная задержка, незначительное неспортивное поведение</w:t>
            </w:r>
          </w:p>
        </w:tc>
        <w:tc>
          <w:tcPr>
            <w:tcW w:type="dxa" w:w="5256"/>
            <w:vAlign w:val="center"/>
            <w:tcMar>
              <w:top w:w="85" w:type="dxa"/>
              <w:left w:w="85" w:type="dxa"/>
              <w:bottom w:w="85" w:type="dxa"/>
              <w:right w:w="85" w:type="dxa"/>
            </w:tcMar>
          </w:tcPr>
          <w:p>
            <w:pPr>
              <w:keepNext/>
              <w:spacing w:after="0" w:line="252" w:lineRule="auto"/>
            </w:pPr>
            <w:r>
              <w:rPr>
                <w:sz w:val="20"/>
              </w:rPr>
              <w:t>Предупреждение команде; два предупреждения по одной причине в матче дают желтую карточку.</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Замена пилота внутри сета, намеренное перемещение дрона рукой, намеренный контакт с человеком или лежащим аппаратом, серьезное неспортивное поведение</w:t>
            </w:r>
          </w:p>
        </w:tc>
        <w:tc>
          <w:tcPr>
            <w:tcW w:type="dxa" w:w="5256"/>
            <w:vAlign w:val="center"/>
            <w:tcMar>
              <w:top w:w="85" w:type="dxa"/>
              <w:left w:w="85" w:type="dxa"/>
              <w:bottom w:w="85" w:type="dxa"/>
              <w:right w:w="85" w:type="dxa"/>
            </w:tcMar>
          </w:tcPr>
          <w:p>
            <w:pPr>
              <w:keepNext/>
              <w:spacing w:after="0" w:line="252" w:lineRule="auto"/>
            </w:pPr>
            <w:r>
              <w:rPr>
                <w:sz w:val="20"/>
              </w:rPr>
              <w:t>Желтая карточка; ответственный пилот исключается до конца сета, команда играет в меньшинстве. Опасный эпизод может повлечь более строгую санкцию.</w:t>
            </w:r>
          </w:p>
        </w:tc>
      </w:tr>
      <w:tr>
        <w:trPr>
          <w:cantSplit/>
        </w:trPr>
        <w:tc>
          <w:tcPr>
            <w:tcW w:type="dxa" w:w="4824"/>
            <w:vAlign w:val="center"/>
            <w:tcMar>
              <w:top w:w="85" w:type="dxa"/>
              <w:left w:w="85" w:type="dxa"/>
              <w:bottom w:w="85" w:type="dxa"/>
              <w:right w:w="85" w:type="dxa"/>
            </w:tcMar>
          </w:tcPr>
          <w:p>
            <w:pPr>
              <w:keepNext/>
              <w:spacing w:after="0" w:line="252" w:lineRule="auto"/>
            </w:pPr>
            <w:r>
              <w:rPr>
                <w:sz w:val="20"/>
              </w:rPr>
              <w:t>Две желтые карточки команде за матч, незаявленный пилот, особо грубое или опасное поведение</w:t>
            </w:r>
          </w:p>
        </w:tc>
        <w:tc>
          <w:tcPr>
            <w:tcW w:type="dxa" w:w="5256"/>
            <w:vAlign w:val="center"/>
            <w:tcMar>
              <w:top w:w="85" w:type="dxa"/>
              <w:left w:w="85" w:type="dxa"/>
              <w:bottom w:w="85" w:type="dxa"/>
              <w:right w:w="85" w:type="dxa"/>
            </w:tcMar>
          </w:tcPr>
          <w:p>
            <w:pPr>
              <w:keepNext/>
              <w:spacing w:after="0" w:line="252" w:lineRule="auto"/>
            </w:pPr>
            <w:r>
              <w:rPr>
                <w:sz w:val="20"/>
              </w:rPr>
              <w:t>Красная карточка; ответственный пилот исключается до конца матча, команда продолжает с меньшим числом дронов.</w:t>
            </w:r>
          </w:p>
        </w:tc>
      </w:tr>
      <w:tr>
        <w:trPr>
          <w:cantSplit/>
        </w:trPr>
        <w:tc>
          <w:tcPr>
            <w:tcW w:type="dxa" w:w="4824"/>
            <w:vAlign w:val="center"/>
            <w:tcMar>
              <w:top w:w="85" w:type="dxa"/>
              <w:left w:w="85" w:type="dxa"/>
              <w:bottom w:w="85" w:type="dxa"/>
              <w:right w:w="85" w:type="dxa"/>
            </w:tcMar>
          </w:tcPr>
          <w:p>
            <w:pPr>
              <w:spacing w:after="0" w:line="252" w:lineRule="auto"/>
            </w:pPr>
            <w:r>
              <w:rPr>
                <w:sz w:val="20"/>
              </w:rPr>
              <w:t>Несоответствующая техника, умышленно опасные действия, серьезные нарушения спортивной честности</w:t>
            </w:r>
          </w:p>
        </w:tc>
        <w:tc>
          <w:tcPr>
            <w:tcW w:type="dxa" w:w="5256"/>
            <w:vAlign w:val="center"/>
            <w:tcMar>
              <w:top w:w="85" w:type="dxa"/>
              <w:left w:w="85" w:type="dxa"/>
              <w:bottom w:w="85" w:type="dxa"/>
              <w:right w:w="85" w:type="dxa"/>
            </w:tcMar>
          </w:tcPr>
          <w:p>
            <w:pPr>
              <w:spacing w:after="0" w:line="252" w:lineRule="auto"/>
            </w:pPr>
            <w:r>
              <w:rPr>
                <w:sz w:val="20"/>
              </w:rPr>
              <w:t>Возможна дисквалификация команды с турнира решением директора с согласия апелляционной комиссии.</w:t>
            </w:r>
          </w:p>
        </w:tc>
      </w:tr>
    </w:tbl>
    <w:p>
      <w:pPr>
        <w:spacing w:after="0"/>
      </w:pPr>
    </w:p>
    <w:p>
      <w:r>
        <w:rPr>
          <w:b/>
        </w:rPr>
        <w:t xml:space="preserve">9.1. </w:t>
      </w:r>
      <w:r>
        <w:t>Санкции FAI назначаются команде с указанными последствиями для пилота. Если конкретный пилот не определяется, капитан называет игрока, который покидает сет или матч. Удаленного пилота нельзя немедленно заменить резервным. По окончании матча предупреждения и карточки не переносятся в следующий матч; отдельное решение о дисквалификации продолжает действовать.</w:t>
      </w:r>
    </w:p>
    <w:p>
      <w:r>
        <w:rPr>
          <w:b/>
        </w:rPr>
        <w:t xml:space="preserve">9.2. </w:t>
      </w:r>
      <w:r>
        <w:t>Судья указывает пункт правила, факт нарушения и последствие. Случайный контакт с человеком требует немедленной оценки безопасности и санкции по FAI; намеренный контакт запрещен независимо от тяжести последствий. При повышенной опасности директор вправе начать процедуру дисквалификации, не ограничиваясь карточкой.</w:t>
      </w:r>
    </w:p>
    <w:p>
      <w:r>
        <w:rPr>
          <w:b/>
        </w:rPr>
        <w:t xml:space="preserve">9.3. </w:t>
      </w:r>
      <w:r>
        <w:t>Допуск несоответствующей техники до матча не легализует ее использование. При подозрении на подмену или вмешательство судья сохраняет данные проверки и направляет вопрос директору и комиссии. Дисквалификация обозначается «DISQ» в итогах; она не выдается за обычное второе поражение.</w:t>
      </w:r>
    </w:p>
    <w:p>
      <w:pPr>
        <w:pStyle w:val="Heading1"/>
      </w:pPr>
      <w:r>
        <w:t>10 Судейство протоколы и протесты</w:t>
      </w:r>
    </w:p>
    <w:p>
      <w:r>
        <w:rPr>
          <w:b/>
        </w:rPr>
        <w:t xml:space="preserve">10.1. </w:t>
      </w:r>
      <w:r>
        <w:t>Организатор назначает директора турнира, главного судью, техническую комиссию, секретариат и апелляционную комиссию. На матч назначаются судья матча и минимум два судьи ворот; при недостаточном обзоре добавляются помощники для наблюдения возврата и нарушений. Судья не обслуживает матч собственной команды или команды, с которой имеет конфликт интересов.</w:t>
      </w:r>
    </w:p>
    <w:p>
      <w:r>
        <w:rPr>
          <w:b/>
        </w:rPr>
        <w:t xml:space="preserve">10.2. </w:t>
      </w:r>
      <w:r>
        <w:t>Судья матча объявляет старт, остановку, голы, санкции и результат. Судьи ворот проверяют полный проход дрона и возврат за центральную линию. Автоматическая система счета помогает судьям, но сама по себе не отменяет их решения. Секретарь ведет время, протокол и турнирную сетку.</w:t>
      </w:r>
    </w:p>
    <w:p>
      <w:r>
        <w:rPr>
          <w:b/>
        </w:rPr>
        <w:t xml:space="preserve">10.3. </w:t>
      </w:r>
      <w:r>
        <w:t>С судьей во время матча общается капитан; руководитель подает организационные обращения и протесты. Объяснение правила не дает права задерживать старт. Участник может немедленно сообщить об угрозе безопасности независимо от своей роли.</w:t>
      </w:r>
    </w:p>
    <w:p>
      <w:r>
        <w:rPr>
          <w:b/>
        </w:rPr>
        <w:t xml:space="preserve">10.4. </w:t>
      </w:r>
      <w:r>
        <w:t>Протокол содержит номер матча и лигу, команды, составы на каждый сет, нападающих, результаты сетов, штрафные попытки, предупреждения или карточки, остановки, способ определения победителя и подпись либо электронное подтверждение судьи. Капитанам предоставляется возможность ознакомиться; отказ капитана от подписи фиксируется и не блокирует публикацию.</w:t>
      </w:r>
    </w:p>
    <w:p>
      <w:r>
        <w:rPr>
          <w:b/>
        </w:rPr>
        <w:t xml:space="preserve">10.5. </w:t>
      </w:r>
      <w:r>
        <w:t>Письменный протест подает капитан или руководитель в течение 10 минут после доведения результата до обеих команд. Уведомление должно быть доступно на площадке; публикация только в недоступной команде системе не запускает срок. До истечения срока и рассмотрения заявленного протеста зависимый матч не начинается. Плата за протест не взимается. Отказ в регистрации или техническом допуске обжалуется в течение 24 часов после уведомления, а на площадке — в течение 10 минут. Решение принимается до жеребьевки либо ближайшего матча затронутой команды; организатор обязан оставить время для такого рассмотрения.</w:t>
      </w:r>
    </w:p>
    <w:p>
      <w:r>
        <w:rPr>
          <w:b/>
        </w:rPr>
        <w:t xml:space="preserve">10.6. </w:t>
      </w:r>
      <w:r>
        <w:t>В протесте указываются команда, номер матча, время или описание эпизода, оспариваемое решение, применимое правило, требуемое исправление и доступные доказательства. Допустимы ошибки счета, применения правил, допуска и процедуры. Несогласие без указания спорного эпизода не заменяет протест, но секретариат помогает правильно оформить обращение в пределах срока.</w:t>
      </w:r>
    </w:p>
    <w:p>
      <w:r>
        <w:rPr>
          <w:b/>
        </w:rPr>
        <w:t xml:space="preserve">10.7. </w:t>
      </w:r>
      <w:r>
        <w:t>Апелляционная комиссия состоит из трех незаинтересованных лиц. Судья спорного матча, автор оспариваемого решения и представитель заинтересованной команды не голосуют по собственному делу. Директор обеспечивает замену при конфликте интересов. Сторонам дают возможность кратко изложить позицию; решение принимается большинством и оформляется письменно.</w:t>
      </w:r>
    </w:p>
    <w:p>
      <w:r>
        <w:rPr>
          <w:b/>
        </w:rPr>
        <w:t xml:space="preserve">10.8. </w:t>
      </w:r>
      <w:r>
        <w:t>Официальная видеозапись может использоваться при рассмотрении протеста. В Pro League она не используется судьей для пересмотра решения прямо во время матча. Запись команды комиссия вправе принять после оценки ее целостности, ракурса и времени; автоматического права на видеопересмотр она не создает. Отсутствие записи само по себе не доказывает правоту любой стороны.</w:t>
      </w:r>
    </w:p>
    <w:p>
      <w:r>
        <w:rPr>
          <w:b/>
        </w:rPr>
        <w:t xml:space="preserve">10.9. </w:t>
      </w:r>
      <w:r>
        <w:t>Возможные решения: оставить результат, исправить техническую запись, отменить неверную санкцию или назначить переигровку затронутого сета либо матча при существенной неисправимой ошибке. Комиссия указывает основание и влияние на сетку. Решение сообщается обеим сторонам до следующего зависимого матча.</w:t>
      </w:r>
    </w:p>
    <w:p>
      <w:r>
        <w:rPr>
          <w:b/>
        </w:rPr>
        <w:t xml:space="preserve">10.10. </w:t>
      </w:r>
      <w:r>
        <w:t>Итоговые места утверждаются после окончания срока протестов по финалу и рассмотрения поданных обращений. Позднее исправление опечатки допустимо с журналом изменений. Сообщение о подлоге, угрозах или ином серьезном нарушении принимается и после завершения соревнований; отдельная дисциплинарная процедура не отменяет результаты без мотивированного решения. Турнирный порядок не исключает обращение в компетентные органы для защиты предусмотренных законом прав.</w:t>
      </w:r>
    </w:p>
    <w:p>
      <w:pPr>
        <w:pStyle w:val="Heading1"/>
      </w:pPr>
      <w:r>
        <w:t>11 Безопасность и поведение на площадке</w:t>
      </w:r>
    </w:p>
    <w:p>
      <w:r>
        <w:rPr>
          <w:b/>
        </w:rPr>
        <w:t xml:space="preserve">11.1. </w:t>
      </w:r>
      <w:r>
        <w:t>Игры проводятся в закрытой сеткой арене. До начала матчей организатор проверяет ограждение, крепления ворот, электропитание, проходы, разделение зон пилотов и зрителей, доступ к первой помощи и порядок экстренного вызова. Внутри арены не должно быть людей при работающих винтах.</w:t>
      </w:r>
    </w:p>
    <w:p>
      <w:r>
        <w:rPr>
          <w:b/>
        </w:rPr>
        <w:t xml:space="preserve">11.2. </w:t>
      </w:r>
      <w:r>
        <w:t>Каждый пилот и руководитель проходят инструктаж. Запуск возможен только по разрешению судьи; тренировки — только в выделенное время и в разрешенной зоне. После сигнала остановки пилоты выполняют команду судьи, сажают аппараты и отключают моторы. Вход в арену разрешается после подтверждения остановки всех винтов.</w:t>
      </w:r>
    </w:p>
    <w:p>
      <w:r>
        <w:rPr>
          <w:b/>
        </w:rPr>
        <w:t xml:space="preserve">11.3. </w:t>
      </w:r>
      <w:r>
        <w:t>При поврежденной защите, выпавшем аккумуляторе, опасной вибрации или потере управления пилот немедленно прекращает полет. До повторного допуска использовать неисправный аппарат нельзя. Запрещены полеты над людьми, за пределами арены и проверка моторов на открытом столе с установленными винтами.</w:t>
      </w:r>
    </w:p>
    <w:p>
      <w:r>
        <w:rPr>
          <w:b/>
        </w:rPr>
        <w:t xml:space="preserve">11.4. </w:t>
      </w:r>
      <w:r>
        <w:t>Поврежденные, вздутые, перегретые и механически деформированные аккумуляторы не допускаются. Зарядка ведется только на выделенном месте под наблюдением совершеннолетнего ответственного, совместимым зарядным устройством и с соблюдением параметров изготовителя. Аккумуляторы нельзя оставлять без присмотра; контакты запасных батарей защищают от короткого замыкания.</w:t>
      </w:r>
    </w:p>
    <w:p>
      <w:r>
        <w:rPr>
          <w:b/>
        </w:rPr>
        <w:t xml:space="preserve">11.5. </w:t>
      </w:r>
      <w:r>
        <w:t>Организатор обеспечивает соответствующие площадке средства пожаротушения и план действий при инциденте. Участники не переносят горящий аккумулятор через толпу; сообщают ответственному, отходят и действуют по инструктажу. Ремонт с пайкой допускается только в предназначенной для него зоне.</w:t>
      </w:r>
    </w:p>
    <w:p>
      <w:r>
        <w:rPr>
          <w:b/>
        </w:rPr>
        <w:t xml:space="preserve">11.6. </w:t>
      </w:r>
      <w:r>
        <w:t>Контакт дронов в ходе допустимой игровой борьбы возможен. Целенаправленные удары по людям, оборудованию за пределами игры, попытки повреждения чужой техники вне игрового эпизода и физическое вмешательство руками или предметами запрещены. Нельзя устранять риск для одной команды, создавая его для другой.</w:t>
      </w:r>
    </w:p>
    <w:p>
      <w:r>
        <w:rPr>
          <w:b/>
        </w:rPr>
        <w:t xml:space="preserve">11.7. </w:t>
      </w:r>
      <w:r>
        <w:t>Руководитель обеспечивает постоянное сопровождение несовершеннолетних и доступность экстренного контакта. При недомогании участник прекращает игру и обращается к ответственному за первую помощь. Судья вправе отложить старт или остановить матч при угрозе людям без ожидания протеста.</w:t>
      </w:r>
    </w:p>
    <w:p>
      <w:r>
        <w:rPr>
          <w:b/>
        </w:rPr>
        <w:t xml:space="preserve">11.8. </w:t>
      </w:r>
      <w:r>
        <w:t>Оскорбления, угрозы, травля, дискриминация, подкуп судьи, сговор о результате, подмена участника и умышленное создание радиопомех запрещены. Комиссия фиксирует обстоятельства, заслушивает команду, если безопасность позволяет, и применяет предусмотренную санкцию. До выяснения опасного эпизода допускается временное отстранение от полетов с указанием причины.</w:t>
      </w:r>
    </w:p>
    <w:p>
      <w:pPr>
        <w:pStyle w:val="Heading1"/>
      </w:pPr>
      <w:r>
        <w:t>12 Оплата ответственность и персональные данные</w:t>
      </w:r>
    </w:p>
    <w:p>
      <w:r>
        <w:rPr>
          <w:b/>
        </w:rPr>
        <w:t xml:space="preserve">12.1. </w:t>
      </w:r>
      <w:r>
        <w:t>Карточка турнира до начала регистрации указывает, является ли участие бесплатным. При платном участии указываются сумма, получатель, состав включенных услуг, срок оплаты, подтверждающий документ и условия возврата. Скрытые сборы, обязательная покупка техники или взнос за рассмотрение протеста после подачи заявки не вводятся.</w:t>
      </w:r>
    </w:p>
    <w:p>
      <w:r>
        <w:rPr>
          <w:b/>
        </w:rPr>
        <w:t xml:space="preserve">12.2. </w:t>
      </w:r>
      <w:r>
        <w:t>Если иное не указано в карточке, команда самостоятельно обеспечивает проезд, проживание, питание, дроны, пульты, аккумуляторы, запасные части и ремонт. Предоставление оборудования организатором возможно только на заранее опубликованных равных условиях. Условия материальной ответственности за выданную технику оформляются отдельно.</w:t>
      </w:r>
    </w:p>
    <w:p>
      <w:r>
        <w:rPr>
          <w:b/>
        </w:rPr>
        <w:t xml:space="preserve">12.3. </w:t>
      </w:r>
      <w:r>
        <w:t>При отмене турнира организатором полученный регистрационный взнос возвращается полностью в течение 10 рабочих дней после уведомления об отмене. При переносе даты или существенном изменении условий команда вправе отказаться в течение пяти рабочих дней после уведомления и получить возврат в тот же срок. Это предлагаемое договорное условие лиги, действующее после утверждения положения; оно не сокращает обязательные права участника.</w:t>
      </w:r>
    </w:p>
    <w:p>
      <w:r>
        <w:rPr>
          <w:b/>
        </w:rPr>
        <w:t xml:space="preserve">12.4. </w:t>
      </w:r>
      <w:r>
        <w:t>При добровольном отказе, неявке или дисквалификации порядок возврата определяется условиями, показанными до оплаты, и применимым законодательством. Условие «возврат невозможен при любых обстоятельствах» не применяется. Расходы на дорогу и проживание не включаются в регистрационный взнос и отдельно не обещаются к возмещению данным положением.</w:t>
      </w:r>
    </w:p>
    <w:p>
      <w:r>
        <w:rPr>
          <w:b/>
        </w:rPr>
        <w:t xml:space="preserve">12.5. </w:t>
      </w:r>
      <w:r>
        <w:t>Команда обязана бережно обращаться с чужим имуществом. Риск обычной технической поломки при разрешенном игровом контакте учитывается участником при подготовке техники. Вопрос возмещения вреда решается с учетом обстоятельств, причинной связи и применимых норм; положение не освобождает организатора или участника от установленной законом ответственности и не содержит отказа от требований в связи с вредом здоровью.</w:t>
      </w:r>
    </w:p>
    <w:p>
      <w:r>
        <w:rPr>
          <w:b/>
        </w:rPr>
        <w:t xml:space="preserve">12.6. </w:t>
      </w:r>
      <w:r>
        <w:t>Регистрационные данные используются для допуска, связи, ведения протоколов и организации турнира в пределах законных оснований и оформленных согласий. До отправки формы платформа показывает наименование и контакт оператора, цели, перечень данных, сроки хранения, получателей и порядок обращения. Настоящее спортивное положение не заменяет отдельную политику обработки данных и форму согласия.</w:t>
      </w:r>
    </w:p>
    <w:p>
      <w:r>
        <w:rPr>
          <w:b/>
        </w:rPr>
        <w:t xml:space="preserve">12.7. </w:t>
      </w:r>
      <w:r>
        <w:t>Принятие спортивных правил, согласие на необходимые операции с данными и согласие на рекламное использование изображения оформляются раздельно. Согласие на рекламу не является условием спортивного допуска. Для несовершеннолетних необходимые согласия получает законный представитель. Публикация личных сведений и использование фото или видео должны иметь надлежащее основание.</w:t>
      </w:r>
    </w:p>
    <w:p>
      <w:r>
        <w:rPr>
          <w:b/>
        </w:rPr>
        <w:t xml:space="preserve">12.8. </w:t>
      </w:r>
      <w:r>
        <w:t>В открытом доступе по умолчанию размещаются название команды, город, организация и спортивные результаты. ФИО пилотов и индивидуальные изображения публикуются только при соответствующем основании и в объявленном объеме. Даты рождения, документы, телефоны, адреса и экстренные контакты не публикуются в сетке или открытом профиле.</w:t>
      </w:r>
    </w:p>
    <w:p>
      <w:r>
        <w:rPr>
          <w:b/>
        </w:rPr>
        <w:t xml:space="preserve">12.9. </w:t>
      </w:r>
      <w:r>
        <w:t>Отказ от необязательной рекламной съемки не лишает команду права участвовать. Организатор заранее объясняет условия общей съемки и трансляции с площадки и порядок обращения по изображениям. Рекламная рассылка по регистрационным контактам требует отдельного основания; подача заявки сама по себе его не создает.</w:t>
      </w:r>
    </w:p>
    <w:p>
      <w:r>
        <w:rPr>
          <w:b/>
        </w:rPr>
        <w:t xml:space="preserve">12.10. </w:t>
      </w:r>
      <w:r>
        <w:t>До открытия регистрации публикуются контакты для вопросов о допуске, платежах, персональных данных и протестах. Юридические реквизиты организатора и оператора платформы указываются точно; они могут быть разными лицами. Для турнира в рамках STEM Олимпиады дополнительно публикуются совместимые правила доступа на площадку основного мероприятия.</w:t>
      </w:r>
    </w:p>
    <w:p>
      <w:r>
        <w:rPr>
          <w:b/>
        </w:rPr>
        <w:t xml:space="preserve">12.11. </w:t>
      </w:r>
      <w:r>
        <w:t>При аварии, ограничении доступа к площадке или ином обстоятельстве, не позволяющем продолжить турнир, директор и главный судья оформляют решение о паузе, переносе или прекращении. Команды получают одинаковое уведомление. Незавершенные матчи разрешаются по правилам соответствующей лиги; неразыгранные места не приписываются командам произвольно.</w:t>
      </w:r>
    </w:p>
    <w:p>
      <w:r>
        <w:rPr>
          <w:b/>
        </w:rPr>
        <w:t xml:space="preserve">12.12. </w:t>
      </w:r>
      <w:r>
        <w:t>В каждой разыгранной лиге награждаются первое, второе и третье места с учетом числа команд. Вид дипломов, медалей, кубков и ценных призов указывается до открытия регистрации. Настоящее положение само по себе не обещает денежный призовой фонд. Награды и результаты Pro League и Open League не суммируются в общий зачет без отдельного опубликованного правила.</w:t>
      </w:r>
    </w:p>
    <w:p>
      <w:pPr>
        <w:pStyle w:val="Heading1"/>
      </w:pPr>
      <w:r>
        <w:t>13 Публикация условий и вступление в силу</w:t>
      </w:r>
    </w:p>
    <w:p>
      <w:r>
        <w:rPr>
          <w:b/>
        </w:rPr>
        <w:t xml:space="preserve">13.1. </w:t>
      </w:r>
      <w:r>
        <w:t>До открытия регистрации организатор публикует утвержденное положение с номером версии, карточку турнира и условия работы с данными. В карточке обязательно указываются название, город и точный адрес, даты и часовой пояс, организаторы, обе доступные лиги или выбранная лига, возраст, сроки регистрации, лимит мест, взносы, возвраты, документы для допуска, награды и официальные контакты.</w:t>
      </w:r>
    </w:p>
    <w:p>
      <w:r>
        <w:rPr>
          <w:b/>
        </w:rPr>
        <w:t xml:space="preserve">13.2. </w:t>
      </w:r>
      <w:r>
        <w:t>До регистрации также указываются технические параметры арены и ворот, порядок предоставления техники, срок фиксации состава, применяемая версия внешних правил Pro League и способ уведомления об изменениях. Если турнир использует параметры, отличающиеся от базовых разрешенных вариантов, это выделяется в карточке отдельным пунктом и утверждается до приема заявок.</w:t>
      </w:r>
    </w:p>
    <w:p>
      <w:r>
        <w:rPr>
          <w:b/>
        </w:rPr>
        <w:t xml:space="preserve">13.3. </w:t>
      </w:r>
      <w:r>
        <w:t>До жеребьевки публикуются список допущенных команд, схема сетки, судейский состав и порядок апелляции. До первого матча публикуются расписание, цветовые обозначения, сигналы судьи, правила радиочастот и экстренные контакты площадки.</w:t>
      </w:r>
    </w:p>
    <w:p>
      <w:r>
        <w:rPr>
          <w:b/>
        </w:rPr>
        <w:t xml:space="preserve">13.4. </w:t>
      </w:r>
      <w:r>
        <w:t>Русский текст данной редакции является рабочим текстом для утверждения. При публикации казахской и других языковых версий организатор проверяет их содержательное совпадение и заранее указывает порядок разрешения расхождений. Толкование спорного пункта объявляется всем командам одинаково и не подменяет изменение правила после начала соревнований.</w:t>
      </w:r>
    </w:p>
    <w:p>
      <w:pPr>
        <w:pStyle w:val="Heading1"/>
      </w:pPr>
      <w:r>
        <w:t>14 Рабочие формы и памятки</w:t>
      </w:r>
    </w:p>
    <w:p>
      <w:pPr>
        <w:keepNext/>
      </w:pPr>
      <w:r>
        <w:rPr>
          <w:b/>
        </w:rPr>
        <w:t>Памятка команды перед выездом</w:t>
      </w:r>
    </w:p>
    <w:p>
      <w:r>
        <w:rPr>
          <w:b/>
        </w:rPr>
        <w:t xml:space="preserve">14.1. </w:t>
      </w:r>
      <w:r>
        <w:t>Проверьте подтверждение заявки и выбранную лигу; окончательный состав и возраст; согласия для несовершеннолетних; время явки и технической комиссии; массу и размеры каждого аппарата; исправность защиты, света и failsafe; запас безопасных батарей; документы о ранее согласованной конфигурации; контакт руководителя и правила протестов.</w:t>
      </w:r>
    </w:p>
    <w:p>
      <w:pPr>
        <w:keepNext/>
      </w:pPr>
      <w:r>
        <w:rPr>
          <w:b/>
        </w:rPr>
        <w:t>Карточка технического допуска</w:t>
      </w:r>
    </w:p>
    <w:p>
      <w:r>
        <w:rPr>
          <w:b/>
        </w:rPr>
        <w:t xml:space="preserve">14.2. </w:t>
      </w:r>
      <w:r>
        <w:t>Поля записи: турнир и лига; команда; пилот; идентификатор дрона; производитель или самостоятельная сборка; тип и число моторов; измеренный диаметр; масса с игровой батареей; тип батареи, число ячеек и измеренное напряжение; защита и отверстия; пропеллеры; маркировка; failsafe; замечания; результат допуска; ФИО инспектора, дата и время. Для Pro League отдельно проверяются светодиоды и ограничения автоматизации.</w:t>
      </w:r>
    </w:p>
    <w:p>
      <w:pPr>
        <w:keepNext/>
      </w:pPr>
      <w:r>
        <w:rPr>
          <w:b/>
        </w:rPr>
        <w:t>Протокол матча</w:t>
      </w:r>
    </w:p>
    <w:p>
      <w:pPr>
        <w:keepNext/>
      </w:pPr>
      <w:r>
        <w:rPr>
          <w:b/>
        </w:rPr>
        <w:t xml:space="preserve">14.3. </w:t>
      </w:r>
      <w:r>
        <w:t>Шапка: турнир, лига, номер матча, раунд и арена; дата и время; команды А и Б; капитаны; составы и атакующие на каждый сет; судья матча и судьи ворот.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080"/>
        <w:gridCol w:w="1080"/>
        <w:gridCol w:w="4536"/>
      </w:tblGrid>
      <w:tr>
        <w:trPr>
          <w:cantSplit/>
          <w:tblHeader/>
        </w:trPr>
        <w:tc>
          <w:tcPr>
            <w:tcW w:type="dxa" w:w="3384"/>
            <w:vAlign w:val="center"/>
            <w:tcMar>
              <w:top w:w="85" w:type="dxa"/>
              <w:left w:w="85" w:type="dxa"/>
              <w:bottom w:w="85" w:type="dxa"/>
              <w:right w:w="85" w:type="dxa"/>
            </w:tcMar>
            <w:shd w:fill="DCE6EE"/>
          </w:tcPr>
          <w:p>
            <w:pPr>
              <w:keepNext/>
              <w:spacing w:after="0" w:line="252" w:lineRule="auto"/>
            </w:pPr>
            <w:r>
              <w:rPr>
                <w:b/>
                <w:sz w:val="20"/>
              </w:rPr>
              <w:t>Часть матча</w:t>
            </w:r>
          </w:p>
        </w:tc>
        <w:tc>
          <w:tcPr>
            <w:tcW w:type="dxa" w:w="1080"/>
            <w:vAlign w:val="center"/>
            <w:tcMar>
              <w:top w:w="85" w:type="dxa"/>
              <w:left w:w="85" w:type="dxa"/>
              <w:bottom w:w="85" w:type="dxa"/>
              <w:right w:w="85" w:type="dxa"/>
            </w:tcMar>
            <w:shd w:fill="DCE6EE"/>
          </w:tcPr>
          <w:p>
            <w:pPr>
              <w:keepNext/>
              <w:spacing w:after="0" w:line="252" w:lineRule="auto"/>
              <w:jc w:val="center"/>
            </w:pPr>
            <w:r>
              <w:rPr>
                <w:b/>
                <w:sz w:val="20"/>
              </w:rPr>
              <w:t>Голы А</w:t>
            </w:r>
          </w:p>
        </w:tc>
        <w:tc>
          <w:tcPr>
            <w:tcW w:type="dxa" w:w="1080"/>
            <w:vAlign w:val="center"/>
            <w:tcMar>
              <w:top w:w="85" w:type="dxa"/>
              <w:left w:w="85" w:type="dxa"/>
              <w:bottom w:w="85" w:type="dxa"/>
              <w:right w:w="85" w:type="dxa"/>
            </w:tcMar>
            <w:shd w:fill="DCE6EE"/>
          </w:tcPr>
          <w:p>
            <w:pPr>
              <w:keepNext/>
              <w:spacing w:after="0" w:line="252" w:lineRule="auto"/>
              <w:jc w:val="center"/>
            </w:pPr>
            <w:r>
              <w:rPr>
                <w:b/>
                <w:sz w:val="20"/>
              </w:rPr>
              <w:t>Голы Б</w:t>
            </w:r>
          </w:p>
        </w:tc>
        <w:tc>
          <w:tcPr>
            <w:tcW w:type="dxa" w:w="4536"/>
            <w:vAlign w:val="center"/>
            <w:tcMar>
              <w:top w:w="85" w:type="dxa"/>
              <w:left w:w="85" w:type="dxa"/>
              <w:bottom w:w="85" w:type="dxa"/>
              <w:right w:w="85" w:type="dxa"/>
            </w:tcMar>
            <w:shd w:fill="DCE6EE"/>
          </w:tcPr>
          <w:p>
            <w:pPr>
              <w:keepNext/>
              <w:spacing w:after="0" w:line="252" w:lineRule="auto"/>
            </w:pPr>
            <w:r>
              <w:rPr>
                <w:b/>
                <w:sz w:val="20"/>
              </w:rPr>
              <w:t>Итог и замечания</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1</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2</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Сет 3 если проводится</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keepNext/>
              <w:spacing w:after="0" w:line="252" w:lineRule="auto"/>
            </w:pPr>
            <w:r>
              <w:rPr>
                <w:sz w:val="20"/>
              </w:rPr>
              <w:t>Дополнительный сет</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1080"/>
            <w:vAlign w:val="center"/>
            <w:tcMar>
              <w:top w:w="85" w:type="dxa"/>
              <w:left w:w="85" w:type="dxa"/>
              <w:bottom w:w="85" w:type="dxa"/>
              <w:right w:w="85" w:type="dxa"/>
            </w:tcMar>
          </w:tcPr>
          <w:p>
            <w:pPr>
              <w:keepNext/>
              <w:spacing w:after="0" w:line="252" w:lineRule="auto"/>
              <w:jc w:val="center"/>
            </w:pPr>
            <w:r>
              <w:rPr>
                <w:sz w:val="20"/>
              </w:rPr>
              <w:t>_____</w:t>
            </w:r>
          </w:p>
        </w:tc>
        <w:tc>
          <w:tcPr>
            <w:tcW w:type="dxa" w:w="4536"/>
            <w:vAlign w:val="center"/>
            <w:tcMar>
              <w:top w:w="85" w:type="dxa"/>
              <w:left w:w="85" w:type="dxa"/>
              <w:bottom w:w="85" w:type="dxa"/>
              <w:right w:w="85" w:type="dxa"/>
            </w:tcMar>
          </w:tcPr>
          <w:p>
            <w:pPr>
              <w:keepNext/>
              <w:spacing w:after="0" w:line="252" w:lineRule="auto"/>
            </w:pPr>
            <w:r>
              <w:rPr>
                <w:sz w:val="20"/>
              </w:rPr>
              <w:t>________________</w:t>
            </w:r>
          </w:p>
        </w:tc>
      </w:tr>
      <w:tr>
        <w:trPr>
          <w:cantSplit/>
        </w:trPr>
        <w:tc>
          <w:tcPr>
            <w:tcW w:type="dxa" w:w="3384"/>
            <w:vAlign w:val="center"/>
            <w:tcMar>
              <w:top w:w="85" w:type="dxa"/>
              <w:left w:w="85" w:type="dxa"/>
              <w:bottom w:w="85" w:type="dxa"/>
              <w:right w:w="85" w:type="dxa"/>
            </w:tcMar>
          </w:tcPr>
          <w:p>
            <w:pPr>
              <w:spacing w:after="0" w:line="252" w:lineRule="auto"/>
            </w:pPr>
            <w:r>
              <w:rPr>
                <w:sz w:val="20"/>
              </w:rPr>
              <w:t>Серия попыток</w:t>
            </w:r>
          </w:p>
        </w:tc>
        <w:tc>
          <w:tcPr>
            <w:tcW w:type="dxa" w:w="1080"/>
            <w:vAlign w:val="center"/>
            <w:tcMar>
              <w:top w:w="85" w:type="dxa"/>
              <w:left w:w="85" w:type="dxa"/>
              <w:bottom w:w="85" w:type="dxa"/>
              <w:right w:w="85" w:type="dxa"/>
            </w:tcMar>
          </w:tcPr>
          <w:p>
            <w:pPr>
              <w:spacing w:after="0" w:line="252" w:lineRule="auto"/>
              <w:jc w:val="center"/>
            </w:pPr>
            <w:r>
              <w:rPr>
                <w:sz w:val="20"/>
              </w:rPr>
              <w:t>_____</w:t>
            </w:r>
          </w:p>
        </w:tc>
        <w:tc>
          <w:tcPr>
            <w:tcW w:type="dxa" w:w="1080"/>
            <w:vAlign w:val="center"/>
            <w:tcMar>
              <w:top w:w="85" w:type="dxa"/>
              <w:left w:w="85" w:type="dxa"/>
              <w:bottom w:w="85" w:type="dxa"/>
              <w:right w:w="85" w:type="dxa"/>
            </w:tcMar>
          </w:tcPr>
          <w:p>
            <w:pPr>
              <w:spacing w:after="0" w:line="252" w:lineRule="auto"/>
              <w:jc w:val="center"/>
            </w:pPr>
            <w:r>
              <w:rPr>
                <w:sz w:val="20"/>
              </w:rPr>
              <w:t>_____</w:t>
            </w:r>
          </w:p>
        </w:tc>
        <w:tc>
          <w:tcPr>
            <w:tcW w:type="dxa" w:w="4536"/>
            <w:vAlign w:val="center"/>
            <w:tcMar>
              <w:top w:w="85" w:type="dxa"/>
              <w:left w:w="85" w:type="dxa"/>
              <w:bottom w:w="85" w:type="dxa"/>
              <w:right w:w="85" w:type="dxa"/>
            </w:tcMar>
          </w:tcPr>
          <w:p>
            <w:pPr>
              <w:spacing w:after="0" w:line="252" w:lineRule="auto"/>
            </w:pPr>
            <w:r>
              <w:rPr>
                <w:sz w:val="20"/>
              </w:rPr>
              <w:t>________________</w:t>
            </w:r>
          </w:p>
        </w:tc>
      </w:tr>
    </w:tbl>
    <w:p>
      <w:pPr>
        <w:spacing w:after="0"/>
      </w:pPr>
    </w:p>
    <w:p>
      <w:r>
        <w:rPr>
          <w:b/>
        </w:rPr>
        <w:t xml:space="preserve">14.4. </w:t>
      </w:r>
      <w:r>
        <w:t>К каждой строке отдельно прилагаются исходный счет до штрафов, количество назначенных и выполненных попыток, их голы, предупреждения или карточки и сведения об остановках. Неиспользованная строка отмечается «не проводилось». Итог: победитель, счет по сетам, основание победы в серии или технического решения, время сообщения результата обеим командам и крайнее время протеста.</w:t>
      </w:r>
    </w:p>
    <w:p>
      <w:pPr>
        <w:keepNext/>
      </w:pPr>
      <w:r>
        <w:rPr>
          <w:b/>
        </w:rPr>
        <w:t>Форма протеста</w:t>
      </w:r>
    </w:p>
    <w:p>
      <w:r>
        <w:rPr>
          <w:b/>
        </w:rPr>
        <w:t xml:space="preserve">14.5. </w:t>
      </w:r>
      <w:r>
        <w:t>Команда и лига: ____________________. Номер матча или решение о допуске: ____________________. Податель и контакт: ____________________. Время подачи: ____________________.</w:t>
      </w:r>
    </w:p>
    <w:p>
      <w:r>
        <w:rPr>
          <w:b/>
        </w:rPr>
        <w:t xml:space="preserve">14.6. </w:t>
      </w:r>
      <w:r>
        <w:t>Спорный эпизод и его время: ____________________. Нарушенное правило: ____________________. Требуемое исправление: ____________________. Доказательства или ссылка на запись: ____________________.</w:t>
      </w:r>
    </w:p>
    <w:p>
      <w:r>
        <w:rPr>
          <w:b/>
        </w:rPr>
        <w:t xml:space="preserve">14.7. </w:t>
      </w:r>
      <w:r>
        <w:t>Отметка секретариата о получении: ____________________. Состав независимой комиссии: ____________________. Решение и мотивы: ____________________. Время уведомления обеих сторон и внесения исправления в сетку: ____________________.</w:t>
      </w:r>
    </w:p>
    <w:p>
      <w:pPr>
        <w:keepNext/>
      </w:pPr>
      <w:r>
        <w:rPr>
          <w:b/>
        </w:rPr>
        <w:t>Чеклист публикации турнира</w:t>
      </w:r>
    </w:p>
    <w:p>
      <w:r>
        <w:rPr>
          <w:b/>
        </w:rPr>
        <w:t xml:space="preserve">14.8. </w:t>
      </w:r>
      <w:r>
        <w:t>Утвержденная редакция правил; ответственный организатор; даты, адрес и часовой пояс; возраст; лимит команд; регистрационные сроки; состав заявки; параметры арены; формат сетки и разрешение ничьих; взносы и возвраты; награды; технический допуск; согласия и политика данных; резервный канал при сбое; контакты судейства и экстренной связи. Все обязательные поля заполняются до приема заявок.</w:t>
      </w:r>
    </w:p>
    <w:p>
      <w:pPr>
        <w:pStyle w:val="Heading1"/>
        <w:pageBreakBefore/>
      </w:pPr>
      <w:r>
        <w:t>15 Источники и границы применения</w:t>
      </w:r>
    </w:p>
    <w:p>
      <w:r>
        <w:rPr>
          <w:b/>
        </w:rPr>
        <w:t xml:space="preserve">15.1. </w:t>
      </w:r>
      <w:r>
        <w:t>Основа адаптации — ранее подготовленное положение Astana Drone Soccer Open Cup 2026 для STEM Олимпиады, русская версия от 6 октября 2026 года. Из него сохранены разделение 3 на 3 и 5 на 5, два технических класса и принцип двойного выбывания. Даты конкретного Кубка не перенесены на постоянную платформу.</w:t>
      </w:r>
    </w:p>
    <w:p>
      <w:r>
        <w:rPr>
          <w:b/>
        </w:rPr>
        <w:t xml:space="preserve">15.2. </w:t>
      </w:r>
      <w:r>
        <w:t>FAI Sporting Code, Section 4, Volume F9 Drone Sports, 2026 Edition, Version 2, effective 1 June 2026. Проверены разделы F9A.1–F9A.12, в частности технические ограничения, состав, три сета, голы, санкции и остановки. В этой редакции используется нумерация F9A, а не прежние обозначения B.1 и далее.</w:t>
      </w:r>
    </w:p>
    <w:p>
      <w:hyperlink r:id="rId11">
        <w:r>
          <w:rPr>
            <w:color w:val="174E79"/>
          </w:rPr>
          <w:t>Официальная редакция FAI 2026 Version 2</w:t>
        </w:r>
      </w:hyperlink>
    </w:p>
    <w:p>
      <w:r>
        <w:rPr>
          <w:b/>
        </w:rPr>
        <w:t xml:space="preserve">15.3. </w:t>
      </w:r>
      <w:r>
        <w:t>Локальные условия Pro League выделены в тексте: бесколлекторные моторы; 3 на 3 в пределах допустимого FAI диапазона; фиксированная сетка и ее переходы; регистрационные процедуры; подробная процедура определения победителя и проведения попыток. Документ является регламентом лиги, а не официальным переводом или актом FAI.</w:t>
      </w:r>
    </w:p>
    <w:p>
      <w:r>
        <w:rPr>
          <w:b/>
        </w:rPr>
        <w:t xml:space="preserve">15.4. </w:t>
      </w:r>
      <w:r>
        <w:t>Вопросы персональных данных регулируются применимым законодательством Республики Казахстан и отдельными документами оператора. Спортивное положение задает процедуру участия, но не заменяет индивидуальную форму согласия, договор платных услуг или политику обработки данных.</w:t>
      </w:r>
    </w:p>
    <w:p>
      <w:hyperlink r:id="rId12">
        <w:r>
          <w:rPr>
            <w:color w:val="174E79"/>
          </w:rPr>
          <w:t>Закон Республики Казахстан о персональных данных и их защите</w:t>
        </w:r>
      </w:hyperlink>
    </w:p>
    <w:p>
      <w:r>
        <w:rPr>
          <w:b/>
        </w:rPr>
        <w:t xml:space="preserve">15.5. </w:t>
      </w:r>
      <w:r>
        <w:t>Контрольная дата сверки источников — 20 октября 2026 года. Изменение внешнего источника после этой даты требует проверки и новой публикации правил для следующего турнира.</w:t>
      </w:r>
    </w:p>
    <w:sectPr w:rsidR="00FC693F" w:rsidRPr="0006063C" w:rsidSect="00034616">
      <w:headerReference w:type="default" r:id="rId9"/>
      <w:footerReference w:type="default" r:id="rId10"/>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Редакция 1.0   •   </w:t>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DRONE FOOTBALL LEAGUE   /   Бесколлекторные дроны 3 на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ai.org/sites/default/files/2026-06/CIAM-F9-Drones-2026-06-01.pdf" TargetMode="External"/><Relationship Id="rId12" Type="http://schemas.openxmlformats.org/officeDocument/2006/relationships/hyperlink" Target="https://old.adilet.zan.kz/rus/docs/Z1300000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Pro League</dc:title>
  <dc:subject>Правила участия и проведения соревнований</dc:subject>
  <dc:creator>YRYS Group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